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14D76" w14:textId="77777777" w:rsidR="003C44C4" w:rsidRPr="00760530" w:rsidRDefault="003C44C4" w:rsidP="003C44C4">
      <w:pPr>
        <w:pStyle w:val="3GPPHeader"/>
        <w:spacing w:after="60"/>
        <w:rPr>
          <w:sz w:val="32"/>
          <w:szCs w:val="32"/>
          <w:highlight w:val="yellow"/>
        </w:rPr>
      </w:pPr>
      <w:r w:rsidRPr="003D7A16">
        <w:t>3GPP TSG RAN WG1 #10</w:t>
      </w:r>
      <w:r>
        <w:t>4-e</w:t>
      </w:r>
      <w:r w:rsidRPr="00760530">
        <w:tab/>
      </w:r>
      <w:proofErr w:type="spellStart"/>
      <w:r w:rsidRPr="00760530">
        <w:rPr>
          <w:sz w:val="32"/>
          <w:szCs w:val="32"/>
        </w:rPr>
        <w:t>Tdoc</w:t>
      </w:r>
      <w:proofErr w:type="spellEnd"/>
      <w:r w:rsidRPr="00760530">
        <w:rPr>
          <w:sz w:val="32"/>
          <w:szCs w:val="32"/>
        </w:rPr>
        <w:t xml:space="preserve"> </w:t>
      </w:r>
      <w:r w:rsidRPr="00867336">
        <w:rPr>
          <w:sz w:val="32"/>
          <w:szCs w:val="32"/>
        </w:rPr>
        <w:t>R1-2101559</w:t>
      </w:r>
    </w:p>
    <w:p w14:paraId="51B591F7" w14:textId="77777777" w:rsidR="003C44C4" w:rsidRPr="00CC03EE" w:rsidRDefault="003C44C4" w:rsidP="003C44C4">
      <w:pPr>
        <w:pStyle w:val="3GPPHeader"/>
      </w:pPr>
      <w:r w:rsidRPr="003D7A16">
        <w:t xml:space="preserve">e-Meeting, </w:t>
      </w:r>
      <w:r>
        <w:t>Jan</w:t>
      </w:r>
      <w:r w:rsidRPr="003D7A16">
        <w:t xml:space="preserve"> 2</w:t>
      </w:r>
      <w:r>
        <w:t>5</w:t>
      </w:r>
      <w:r w:rsidRPr="003D7A16">
        <w:t xml:space="preserve">th – </w:t>
      </w:r>
      <w:r>
        <w:t>Feb 5</w:t>
      </w:r>
      <w:r w:rsidRPr="003D7A16">
        <w:t>th, 202</w:t>
      </w:r>
      <w:r>
        <w:t>1</w:t>
      </w:r>
    </w:p>
    <w:p w14:paraId="3DAD925D" w14:textId="77777777" w:rsidR="003C44C4" w:rsidRPr="00CC03EE" w:rsidRDefault="003C44C4" w:rsidP="003C44C4">
      <w:pPr>
        <w:pStyle w:val="3GPPHeader"/>
      </w:pPr>
    </w:p>
    <w:p w14:paraId="46D4C743" w14:textId="77777777" w:rsidR="003C44C4" w:rsidRPr="00CC03EE" w:rsidRDefault="003C44C4" w:rsidP="003C44C4">
      <w:pPr>
        <w:pStyle w:val="3GPPHeader"/>
        <w:spacing w:after="0"/>
        <w:rPr>
          <w:sz w:val="22"/>
        </w:rPr>
      </w:pPr>
      <w:r w:rsidRPr="00CC03EE">
        <w:rPr>
          <w:sz w:val="22"/>
        </w:rPr>
        <w:t>Agenda Item:</w:t>
      </w:r>
      <w:r w:rsidRPr="00CC03EE">
        <w:rPr>
          <w:sz w:val="22"/>
        </w:rPr>
        <w:tab/>
      </w:r>
      <w:r w:rsidRPr="00C736D5">
        <w:rPr>
          <w:sz w:val="22"/>
        </w:rPr>
        <w:t>8.7.3</w:t>
      </w:r>
      <w:r w:rsidRPr="00CC03EE">
        <w:rPr>
          <w:sz w:val="22"/>
        </w:rPr>
        <w:t xml:space="preserve"> </w:t>
      </w:r>
    </w:p>
    <w:p w14:paraId="6BED2822" w14:textId="77777777" w:rsidR="003C44C4" w:rsidRPr="00760530" w:rsidRDefault="003C44C4" w:rsidP="003C44C4">
      <w:pPr>
        <w:pStyle w:val="3GPPHeader"/>
        <w:spacing w:after="0"/>
        <w:rPr>
          <w:sz w:val="22"/>
        </w:rPr>
      </w:pPr>
      <w:r w:rsidRPr="00760530">
        <w:rPr>
          <w:sz w:val="22"/>
        </w:rPr>
        <w:t>Source:</w:t>
      </w:r>
      <w:r w:rsidRPr="00760530">
        <w:rPr>
          <w:sz w:val="22"/>
        </w:rPr>
        <w:tab/>
        <w:t>Ericsson</w:t>
      </w:r>
    </w:p>
    <w:p w14:paraId="0429958B" w14:textId="77777777" w:rsidR="003C44C4" w:rsidRPr="00760530" w:rsidRDefault="003C44C4" w:rsidP="003C44C4">
      <w:pPr>
        <w:pStyle w:val="3GPPHeader"/>
        <w:spacing w:after="0"/>
        <w:rPr>
          <w:sz w:val="22"/>
        </w:rPr>
      </w:pPr>
      <w:r w:rsidRPr="00760530">
        <w:rPr>
          <w:sz w:val="22"/>
        </w:rPr>
        <w:t>Title:</w:t>
      </w:r>
      <w:r w:rsidRPr="00760530">
        <w:rPr>
          <w:sz w:val="22"/>
        </w:rPr>
        <w:tab/>
      </w:r>
      <w:r w:rsidRPr="00867336">
        <w:rPr>
          <w:sz w:val="22"/>
        </w:rPr>
        <w:t>Evaluation results for UE power saving schemes</w:t>
      </w:r>
    </w:p>
    <w:p w14:paraId="4A5AAC45" w14:textId="77777777" w:rsidR="003C44C4" w:rsidRDefault="003C44C4" w:rsidP="003C44C4">
      <w:pPr>
        <w:pStyle w:val="3GPPHeader"/>
        <w:spacing w:after="0"/>
        <w:rPr>
          <w:sz w:val="22"/>
        </w:rPr>
      </w:pPr>
      <w:r w:rsidRPr="00760530">
        <w:rPr>
          <w:sz w:val="22"/>
        </w:rPr>
        <w:t>Document for:</w:t>
      </w:r>
      <w:r w:rsidRPr="00760530">
        <w:rPr>
          <w:sz w:val="22"/>
        </w:rPr>
        <w:tab/>
        <w:t>Discussion and Decision</w:t>
      </w:r>
    </w:p>
    <w:p w14:paraId="138FA471" w14:textId="77777777" w:rsidR="003C44C4" w:rsidRPr="00760530" w:rsidRDefault="003C44C4" w:rsidP="003C44C4">
      <w:pPr>
        <w:pStyle w:val="3GPPHeader"/>
        <w:spacing w:after="0"/>
        <w:rPr>
          <w:sz w:val="22"/>
        </w:rPr>
      </w:pPr>
    </w:p>
    <w:p w14:paraId="08A44092" w14:textId="77777777" w:rsidR="003C44C4" w:rsidRPr="005F577B" w:rsidRDefault="003C44C4" w:rsidP="003C44C4">
      <w:pPr>
        <w:pStyle w:val="Heading1"/>
        <w:rPr>
          <w:lang w:val="en-US"/>
        </w:rPr>
      </w:pPr>
      <w:r>
        <w:rPr>
          <w:lang w:val="en-US"/>
        </w:rPr>
        <w:t>1</w:t>
      </w:r>
      <w:r>
        <w:rPr>
          <w:lang w:val="en-US"/>
        </w:rPr>
        <w:tab/>
      </w:r>
      <w:r w:rsidRPr="005F577B">
        <w:rPr>
          <w:lang w:val="en-US"/>
        </w:rPr>
        <w:t>Introduction</w:t>
      </w:r>
    </w:p>
    <w:p w14:paraId="204DD963" w14:textId="77777777" w:rsidR="003C44C4" w:rsidRDefault="003C44C4" w:rsidP="003C44C4">
      <w:pPr>
        <w:pStyle w:val="BodyText"/>
        <w:rPr>
          <w:rFonts w:asciiTheme="minorHAnsi" w:hAnsiTheme="minorHAnsi" w:cstheme="minorHAnsi"/>
        </w:rPr>
      </w:pPr>
      <w:r w:rsidRPr="00EA7486">
        <w:rPr>
          <w:rFonts w:asciiTheme="minorHAnsi" w:hAnsiTheme="minorHAnsi" w:cstheme="minorHAnsi"/>
        </w:rPr>
        <w:t>In this paper, additional simulation results for PDCCH monitoring adaptation are presented, specificall</w:t>
      </w:r>
      <w:r>
        <w:rPr>
          <w:rFonts w:asciiTheme="minorHAnsi" w:hAnsiTheme="minorHAnsi" w:cstheme="minorHAnsi"/>
        </w:rPr>
        <w:t>y, the performance comparison of PDCCH-skipping and SS-switching for the case of both long-DRX only and long-DRX +  short-DRX is configured for the UE.</w:t>
      </w:r>
    </w:p>
    <w:p w14:paraId="65997538" w14:textId="77777777" w:rsidR="003C44C4" w:rsidRPr="00D9699D" w:rsidRDefault="003C44C4" w:rsidP="003C44C4">
      <w:pPr>
        <w:pStyle w:val="Heading1"/>
        <w:rPr>
          <w:lang w:val="en-US"/>
        </w:rPr>
      </w:pPr>
      <w:bookmarkStart w:id="0" w:name="_Ref178064866"/>
      <w:r w:rsidRPr="005F577B">
        <w:rPr>
          <w:lang w:val="en-US"/>
        </w:rPr>
        <w:t>2</w:t>
      </w:r>
      <w:r w:rsidRPr="005F577B">
        <w:rPr>
          <w:lang w:val="en-US"/>
        </w:rPr>
        <w:tab/>
      </w:r>
      <w:bookmarkStart w:id="1" w:name="_Toc5022906"/>
      <w:bookmarkEnd w:id="0"/>
      <w:bookmarkEnd w:id="1"/>
      <w:r>
        <w:rPr>
          <w:lang w:val="en-US"/>
        </w:rPr>
        <w:t>Performance evaluations</w:t>
      </w:r>
    </w:p>
    <w:p w14:paraId="4B32BF68" w14:textId="77777777" w:rsidR="003C44C4" w:rsidRPr="00D13B96" w:rsidRDefault="003C44C4" w:rsidP="003C44C4">
      <w:pPr>
        <w:jc w:val="both"/>
        <w:rPr>
          <w:lang w:val="en-GB" w:eastAsia="ja-JP"/>
        </w:rPr>
      </w:pPr>
      <w:r>
        <w:rPr>
          <w:lang w:val="en-GB" w:eastAsia="ja-JP"/>
        </w:rPr>
        <w:t>In the previous meeting, it was agreed that the PDCCH monitoring adaptation agenda item AI in the UE power-saving (UEPS) work item (WI) will focus on at least one of PDCCH-skipping or SS-switching. In PDCCH-skipping, the UE is configured with a certain skipping duration. The NW then command the UE to skip PDCCH monitoring during that duration when the NW has no data in the buffer. In SS-switching, the UE is configured with two SS-set group. In the simulation, the UE is configured with dense monitoring (i.e., monitoring PDCCH in every slot) and sparse monitoring (monitoring a certain duration in every certain period). The UE switches to dense monitoring when there is no data in the NW buffer.</w:t>
      </w:r>
    </w:p>
    <w:p w14:paraId="74E5DF5B" w14:textId="77777777" w:rsidR="003C44C4" w:rsidRDefault="003C44C4" w:rsidP="003C44C4">
      <w:pPr>
        <w:pStyle w:val="Heading2"/>
      </w:pPr>
      <w:r>
        <w:t>2. 1.</w:t>
      </w:r>
      <w:r>
        <w:tab/>
        <w:t>Simulation results for long-DRX only</w:t>
      </w:r>
    </w:p>
    <w:p w14:paraId="31B69973" w14:textId="77777777" w:rsidR="003C44C4" w:rsidRDefault="003C44C4" w:rsidP="003C44C4">
      <w:pPr>
        <w:jc w:val="both"/>
        <w:rPr>
          <w:lang w:val="en-GB" w:eastAsia="ja-JP"/>
        </w:rPr>
      </w:pPr>
      <w:r>
        <w:rPr>
          <w:lang w:val="en-GB" w:eastAsia="ja-JP"/>
        </w:rPr>
        <w:t xml:space="preserve">When a UE is configured only with long-DRX, the UE enters the long-DRX cycle right after the IAT expires. In the typical setup (e.g. as in Rel. 16 UEPS WI evaluation), the UE configured with long-DRX only will be configured with a relatively long IAT (e.g. 100ms). The power consumption from PDCCH monitoring during this period, however, is quite large. </w:t>
      </w:r>
    </w:p>
    <w:p w14:paraId="4529A020" w14:textId="77777777" w:rsidR="003C44C4" w:rsidRPr="005E7A49" w:rsidRDefault="003C44C4" w:rsidP="003C44C4">
      <w:pPr>
        <w:jc w:val="both"/>
        <w:rPr>
          <w:rFonts w:cs="Arial"/>
          <w:lang w:eastAsia="ja-JP"/>
        </w:rPr>
      </w:pPr>
      <w:r>
        <w:rPr>
          <w:lang w:val="en-GB" w:eastAsia="ja-JP"/>
        </w:rPr>
        <w:t>Implementing PDCCH monitoring adaptation during this period, therefore, will be beneficial. In Figure 1, the timeline of a UE configured with PDCCH monitoring adaptation (PDCCH-skipping and SS-switching) during the IAT is shown. Note that in the figure, the blue part, light grey, and dark grey represent the PDCCH monitoring occasions, sleep time provided by PDCCH monitoring adaptation, and sleep provided by DRX, respectively.</w:t>
      </w:r>
    </w:p>
    <w:p w14:paraId="68F0D32C" w14:textId="77777777" w:rsidR="003C44C4" w:rsidRDefault="003C44C4" w:rsidP="003C44C4">
      <w:pPr>
        <w:rPr>
          <w:lang w:val="en-GB" w:eastAsia="ja-JP"/>
        </w:rPr>
      </w:pPr>
    </w:p>
    <w:p w14:paraId="79E2403C" w14:textId="77777777" w:rsidR="003C44C4" w:rsidRDefault="003C44C4" w:rsidP="003C44C4">
      <w:pPr>
        <w:jc w:val="center"/>
        <w:rPr>
          <w:lang w:val="en-GB" w:eastAsia="ja-JP"/>
        </w:rPr>
      </w:pPr>
      <w:r>
        <w:rPr>
          <w:noProof/>
          <w:lang w:val="en-GB" w:eastAsia="ja-JP"/>
        </w:rPr>
        <w:drawing>
          <wp:inline distT="0" distB="0" distL="0" distR="0" wp14:anchorId="2603DE4E" wp14:editId="7D741AE4">
            <wp:extent cx="5400000" cy="11369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00000" cy="1136921"/>
                    </a:xfrm>
                    <a:prstGeom prst="rect">
                      <a:avLst/>
                    </a:prstGeom>
                    <a:noFill/>
                  </pic:spPr>
                </pic:pic>
              </a:graphicData>
            </a:graphic>
          </wp:inline>
        </w:drawing>
      </w:r>
    </w:p>
    <w:p w14:paraId="77C7244C" w14:textId="77777777" w:rsidR="003C44C4" w:rsidRPr="000A4378" w:rsidRDefault="003C44C4" w:rsidP="003C44C4">
      <w:pPr>
        <w:pStyle w:val="ListParagraph"/>
        <w:numPr>
          <w:ilvl w:val="0"/>
          <w:numId w:val="3"/>
        </w:numPr>
        <w:jc w:val="center"/>
        <w:rPr>
          <w:lang w:val="en-GB" w:eastAsia="ja-JP"/>
        </w:rPr>
      </w:pPr>
      <w:r>
        <w:rPr>
          <w:lang w:val="en-GB" w:eastAsia="ja-JP"/>
        </w:rPr>
        <w:t>SS-switching</w:t>
      </w:r>
    </w:p>
    <w:p w14:paraId="2DC86408" w14:textId="77777777" w:rsidR="003C44C4" w:rsidRDefault="003C44C4" w:rsidP="003C44C4">
      <w:pPr>
        <w:jc w:val="center"/>
        <w:rPr>
          <w:lang w:val="en-GB" w:eastAsia="ja-JP"/>
        </w:rPr>
      </w:pPr>
      <w:r>
        <w:rPr>
          <w:noProof/>
          <w:lang w:val="en-GB" w:eastAsia="ja-JP"/>
        </w:rPr>
        <w:lastRenderedPageBreak/>
        <w:drawing>
          <wp:inline distT="0" distB="0" distL="0" distR="0" wp14:anchorId="6A38A4BF" wp14:editId="1A152069">
            <wp:extent cx="5400000" cy="11580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00000" cy="1158002"/>
                    </a:xfrm>
                    <a:prstGeom prst="rect">
                      <a:avLst/>
                    </a:prstGeom>
                    <a:noFill/>
                  </pic:spPr>
                </pic:pic>
              </a:graphicData>
            </a:graphic>
          </wp:inline>
        </w:drawing>
      </w:r>
    </w:p>
    <w:p w14:paraId="7BB25A73" w14:textId="77777777" w:rsidR="003C44C4" w:rsidRDefault="003C44C4" w:rsidP="003C44C4">
      <w:pPr>
        <w:jc w:val="center"/>
        <w:rPr>
          <w:lang w:val="en-GB" w:eastAsia="ja-JP"/>
        </w:rPr>
      </w:pPr>
      <w:r>
        <w:rPr>
          <w:lang w:val="en-GB" w:eastAsia="ja-JP"/>
        </w:rPr>
        <w:t>(b)</w:t>
      </w:r>
    </w:p>
    <w:p w14:paraId="0444DBED" w14:textId="77777777" w:rsidR="003C44C4" w:rsidRDefault="003C44C4" w:rsidP="003C44C4">
      <w:pPr>
        <w:spacing w:after="0"/>
        <w:jc w:val="center"/>
        <w:rPr>
          <w:lang w:val="en-GB" w:eastAsia="ja-JP"/>
        </w:rPr>
      </w:pPr>
      <w:r>
        <w:rPr>
          <w:lang w:val="en-GB" w:eastAsia="ja-JP"/>
        </w:rPr>
        <w:t>Figure 1. PDCCH monitoring adaptation inside the IAT (long-DRX only case)</w:t>
      </w:r>
    </w:p>
    <w:p w14:paraId="60B5C72C" w14:textId="77777777" w:rsidR="003C44C4" w:rsidRPr="00F81117" w:rsidRDefault="003C44C4" w:rsidP="003C44C4">
      <w:pPr>
        <w:pStyle w:val="ListParagraph"/>
        <w:numPr>
          <w:ilvl w:val="0"/>
          <w:numId w:val="2"/>
        </w:numPr>
        <w:jc w:val="center"/>
        <w:rPr>
          <w:lang w:val="en-GB" w:eastAsia="ja-JP"/>
        </w:rPr>
      </w:pPr>
      <w:r>
        <w:rPr>
          <w:lang w:val="en-GB" w:eastAsia="ja-JP"/>
        </w:rPr>
        <w:t>SS-switching; (b) PDCCH-skipping</w:t>
      </w:r>
    </w:p>
    <w:p w14:paraId="38A6C60A" w14:textId="77777777" w:rsidR="003C44C4" w:rsidRDefault="003C44C4" w:rsidP="003C44C4">
      <w:pPr>
        <w:rPr>
          <w:lang w:val="en-GB" w:eastAsia="ja-JP"/>
        </w:rPr>
      </w:pPr>
    </w:p>
    <w:p w14:paraId="71084C6A" w14:textId="77777777" w:rsidR="003C44C4" w:rsidRDefault="003C44C4" w:rsidP="003C44C4">
      <w:pPr>
        <w:rPr>
          <w:rFonts w:cs="Arial"/>
          <w:lang w:eastAsia="ja-JP"/>
        </w:rPr>
      </w:pPr>
      <w:r w:rsidRPr="00DC09F5">
        <w:rPr>
          <w:rFonts w:cs="Arial"/>
          <w:lang w:eastAsia="ja-JP"/>
        </w:rPr>
        <w:t>The simulation used FTP3 traffic type is used with a packet size of 0.5 MB and a mean inter-arrival time of 200ms</w:t>
      </w:r>
      <w:r>
        <w:rPr>
          <w:rFonts w:cs="Arial"/>
          <w:lang w:eastAsia="ja-JP"/>
        </w:rPr>
        <w:t xml:space="preserve">, </w:t>
      </w:r>
      <w:r w:rsidRPr="002527DC">
        <w:rPr>
          <w:rFonts w:cs="Arial"/>
          <w:lang w:eastAsia="ja-JP"/>
        </w:rPr>
        <w:t>i.e., according to TS 38.84</w:t>
      </w:r>
      <w:r>
        <w:rPr>
          <w:rFonts w:cs="Arial"/>
          <w:lang w:eastAsia="ja-JP"/>
        </w:rPr>
        <w:t>0</w:t>
      </w:r>
      <w:r w:rsidRPr="00DC09F5">
        <w:rPr>
          <w:rFonts w:cs="Arial"/>
          <w:lang w:eastAsia="ja-JP"/>
        </w:rPr>
        <w:t xml:space="preserve">. The parameter of each </w:t>
      </w:r>
      <w:r>
        <w:rPr>
          <w:rFonts w:cs="Arial"/>
          <w:lang w:eastAsia="ja-JP"/>
        </w:rPr>
        <w:t>scheme</w:t>
      </w:r>
      <w:r w:rsidRPr="00DC09F5">
        <w:rPr>
          <w:rFonts w:cs="Arial"/>
          <w:lang w:eastAsia="ja-JP"/>
        </w:rPr>
        <w:t xml:space="preserve"> can be seen in below table.</w:t>
      </w:r>
    </w:p>
    <w:p w14:paraId="66687617" w14:textId="77777777" w:rsidR="003C44C4" w:rsidRDefault="003C44C4" w:rsidP="003C44C4">
      <w:pPr>
        <w:rPr>
          <w:rFonts w:cs="Arial"/>
          <w:lang w:eastAsia="ja-JP"/>
        </w:rPr>
      </w:pPr>
    </w:p>
    <w:p w14:paraId="50874CA9" w14:textId="77777777" w:rsidR="003C44C4" w:rsidRDefault="003C44C4" w:rsidP="003C44C4">
      <w:pPr>
        <w:jc w:val="center"/>
        <w:rPr>
          <w:lang w:val="en-GB" w:eastAsia="ja-JP"/>
        </w:rPr>
      </w:pPr>
      <w:r>
        <w:rPr>
          <w:rFonts w:cs="Arial"/>
          <w:b/>
          <w:bCs/>
          <w:lang w:eastAsia="ja-JP"/>
        </w:rPr>
        <w:t xml:space="preserve">Table 1. </w:t>
      </w:r>
      <w:r>
        <w:rPr>
          <w:rFonts w:cs="Arial"/>
          <w:lang w:eastAsia="ja-JP"/>
        </w:rPr>
        <w:t>Parameter set-up for each power-saving scenario</w:t>
      </w:r>
    </w:p>
    <w:tbl>
      <w:tblPr>
        <w:tblStyle w:val="TableGrid"/>
        <w:tblW w:w="9493" w:type="dxa"/>
        <w:jc w:val="center"/>
        <w:tblLayout w:type="fixed"/>
        <w:tblLook w:val="04A0" w:firstRow="1" w:lastRow="0" w:firstColumn="1" w:lastColumn="0" w:noHBand="0" w:noVBand="1"/>
      </w:tblPr>
      <w:tblGrid>
        <w:gridCol w:w="562"/>
        <w:gridCol w:w="3544"/>
        <w:gridCol w:w="5387"/>
      </w:tblGrid>
      <w:tr w:rsidR="003C44C4" w:rsidRPr="00681FB4" w14:paraId="38EDBD34" w14:textId="77777777" w:rsidTr="00B26CA9">
        <w:trPr>
          <w:trHeight w:val="483"/>
          <w:jc w:val="center"/>
        </w:trPr>
        <w:tc>
          <w:tcPr>
            <w:tcW w:w="562" w:type="dxa"/>
            <w:shd w:val="clear" w:color="auto" w:fill="D9E2F3" w:themeFill="accent1" w:themeFillTint="33"/>
            <w:vAlign w:val="center"/>
          </w:tcPr>
          <w:p w14:paraId="7194D658" w14:textId="77777777" w:rsidR="003C44C4" w:rsidRPr="00681FB4" w:rsidRDefault="003C44C4" w:rsidP="00B26CA9">
            <w:pPr>
              <w:jc w:val="center"/>
              <w:rPr>
                <w:rFonts w:cstheme="minorHAnsi"/>
                <w:sz w:val="18"/>
                <w:szCs w:val="18"/>
              </w:rPr>
            </w:pPr>
            <w:r>
              <w:rPr>
                <w:rFonts w:cstheme="minorHAnsi"/>
                <w:sz w:val="18"/>
                <w:szCs w:val="18"/>
              </w:rPr>
              <w:t>No</w:t>
            </w:r>
          </w:p>
        </w:tc>
        <w:tc>
          <w:tcPr>
            <w:tcW w:w="3544" w:type="dxa"/>
            <w:shd w:val="clear" w:color="auto" w:fill="D9E2F3" w:themeFill="accent1" w:themeFillTint="33"/>
            <w:vAlign w:val="center"/>
          </w:tcPr>
          <w:p w14:paraId="75EFDDD5" w14:textId="77777777" w:rsidR="003C44C4" w:rsidRPr="00681FB4" w:rsidRDefault="003C44C4" w:rsidP="00B26CA9">
            <w:pPr>
              <w:rPr>
                <w:rFonts w:cstheme="minorHAnsi"/>
                <w:sz w:val="18"/>
                <w:szCs w:val="18"/>
              </w:rPr>
            </w:pPr>
            <w:r w:rsidRPr="00681FB4">
              <w:rPr>
                <w:rFonts w:cstheme="minorHAnsi"/>
                <w:sz w:val="18"/>
                <w:szCs w:val="18"/>
              </w:rPr>
              <w:t>Methods</w:t>
            </w:r>
          </w:p>
        </w:tc>
        <w:tc>
          <w:tcPr>
            <w:tcW w:w="5387" w:type="dxa"/>
            <w:shd w:val="clear" w:color="auto" w:fill="D9E2F3" w:themeFill="accent1" w:themeFillTint="33"/>
            <w:vAlign w:val="center"/>
          </w:tcPr>
          <w:p w14:paraId="0E1E3BED" w14:textId="77777777" w:rsidR="003C44C4" w:rsidRPr="00681FB4" w:rsidRDefault="003C44C4" w:rsidP="00B26CA9">
            <w:pPr>
              <w:rPr>
                <w:rFonts w:cstheme="minorHAnsi"/>
                <w:sz w:val="18"/>
                <w:szCs w:val="18"/>
              </w:rPr>
            </w:pPr>
            <w:r w:rsidRPr="00681FB4">
              <w:rPr>
                <w:rFonts w:cstheme="minorHAnsi"/>
                <w:sz w:val="18"/>
                <w:szCs w:val="18"/>
              </w:rPr>
              <w:t>Parameter / Remark</w:t>
            </w:r>
          </w:p>
        </w:tc>
      </w:tr>
      <w:tr w:rsidR="003C44C4" w:rsidRPr="00681FB4" w14:paraId="6DFC8325" w14:textId="77777777" w:rsidTr="00B26CA9">
        <w:trPr>
          <w:trHeight w:val="340"/>
          <w:jc w:val="center"/>
        </w:trPr>
        <w:tc>
          <w:tcPr>
            <w:tcW w:w="562" w:type="dxa"/>
            <w:vAlign w:val="center"/>
          </w:tcPr>
          <w:p w14:paraId="13804005" w14:textId="77777777" w:rsidR="003C44C4" w:rsidRPr="00681FB4" w:rsidRDefault="003C44C4" w:rsidP="00B26CA9">
            <w:pPr>
              <w:jc w:val="center"/>
              <w:rPr>
                <w:rFonts w:cstheme="minorHAnsi"/>
                <w:sz w:val="18"/>
                <w:szCs w:val="18"/>
              </w:rPr>
            </w:pPr>
            <w:r>
              <w:rPr>
                <w:rFonts w:cstheme="minorHAnsi"/>
                <w:sz w:val="18"/>
                <w:szCs w:val="18"/>
              </w:rPr>
              <w:t>1</w:t>
            </w:r>
          </w:p>
        </w:tc>
        <w:tc>
          <w:tcPr>
            <w:tcW w:w="3544" w:type="dxa"/>
            <w:vAlign w:val="center"/>
          </w:tcPr>
          <w:p w14:paraId="3A24C846" w14:textId="77777777" w:rsidR="003C44C4" w:rsidRPr="00681FB4" w:rsidRDefault="003C44C4" w:rsidP="00B26CA9">
            <w:pPr>
              <w:rPr>
                <w:rFonts w:cstheme="minorHAnsi"/>
                <w:sz w:val="18"/>
                <w:szCs w:val="18"/>
              </w:rPr>
            </w:pPr>
            <w:r>
              <w:rPr>
                <w:rFonts w:cstheme="minorHAnsi"/>
                <w:sz w:val="18"/>
                <w:szCs w:val="18"/>
              </w:rPr>
              <w:t>Long-DRX only</w:t>
            </w:r>
          </w:p>
        </w:tc>
        <w:tc>
          <w:tcPr>
            <w:tcW w:w="5387" w:type="dxa"/>
            <w:vAlign w:val="center"/>
          </w:tcPr>
          <w:p w14:paraId="3023F1B5" w14:textId="77777777" w:rsidR="003C44C4" w:rsidRPr="00681FB4" w:rsidRDefault="003C44C4" w:rsidP="00B26CA9">
            <w:pPr>
              <w:rPr>
                <w:rFonts w:cstheme="minorHAnsi"/>
                <w:sz w:val="18"/>
                <w:szCs w:val="18"/>
              </w:rPr>
            </w:pPr>
            <w:r w:rsidRPr="00313D88">
              <w:rPr>
                <w:rFonts w:cstheme="minorHAnsi"/>
                <w:sz w:val="18"/>
                <w:szCs w:val="18"/>
              </w:rPr>
              <w:t>[160ms; 100ms; 8ms]</w:t>
            </w:r>
          </w:p>
        </w:tc>
      </w:tr>
      <w:tr w:rsidR="003C44C4" w:rsidRPr="00681FB4" w14:paraId="061525FD" w14:textId="77777777" w:rsidTr="00B26CA9">
        <w:trPr>
          <w:trHeight w:val="340"/>
          <w:jc w:val="center"/>
        </w:trPr>
        <w:tc>
          <w:tcPr>
            <w:tcW w:w="562" w:type="dxa"/>
            <w:vAlign w:val="center"/>
          </w:tcPr>
          <w:p w14:paraId="0B400CD8" w14:textId="77777777" w:rsidR="003C44C4" w:rsidRDefault="003C44C4" w:rsidP="00B26CA9">
            <w:pPr>
              <w:jc w:val="center"/>
              <w:rPr>
                <w:rFonts w:cstheme="minorHAnsi"/>
                <w:sz w:val="18"/>
                <w:szCs w:val="18"/>
              </w:rPr>
            </w:pPr>
            <w:r>
              <w:rPr>
                <w:rFonts w:cstheme="minorHAnsi"/>
                <w:sz w:val="18"/>
                <w:szCs w:val="18"/>
              </w:rPr>
              <w:t>2</w:t>
            </w:r>
          </w:p>
        </w:tc>
        <w:tc>
          <w:tcPr>
            <w:tcW w:w="3544" w:type="dxa"/>
            <w:vAlign w:val="center"/>
          </w:tcPr>
          <w:p w14:paraId="33396B40" w14:textId="77777777" w:rsidR="003C44C4" w:rsidRDefault="003C44C4" w:rsidP="00B26CA9">
            <w:pPr>
              <w:rPr>
                <w:rFonts w:cstheme="minorHAnsi"/>
                <w:sz w:val="18"/>
                <w:szCs w:val="18"/>
              </w:rPr>
            </w:pPr>
            <w:r>
              <w:rPr>
                <w:rFonts w:cstheme="minorHAnsi"/>
                <w:sz w:val="18"/>
                <w:szCs w:val="18"/>
              </w:rPr>
              <w:t>Long-DRX + SS-switching</w:t>
            </w:r>
          </w:p>
        </w:tc>
        <w:tc>
          <w:tcPr>
            <w:tcW w:w="5387" w:type="dxa"/>
            <w:vAlign w:val="center"/>
          </w:tcPr>
          <w:p w14:paraId="3CD4333E" w14:textId="77777777" w:rsidR="003C44C4" w:rsidRDefault="003C44C4" w:rsidP="00B26CA9">
            <w:pPr>
              <w:rPr>
                <w:rFonts w:cstheme="minorHAnsi"/>
                <w:sz w:val="18"/>
                <w:szCs w:val="18"/>
              </w:rPr>
            </w:pPr>
            <w:r w:rsidRPr="00681FB4">
              <w:rPr>
                <w:rFonts w:cstheme="minorHAnsi"/>
                <w:sz w:val="18"/>
                <w:szCs w:val="18"/>
              </w:rPr>
              <w:t>Long-DRX [160ms; 8ms]; IAT [</w:t>
            </w:r>
            <w:r>
              <w:rPr>
                <w:rFonts w:cstheme="minorHAnsi"/>
                <w:sz w:val="18"/>
                <w:szCs w:val="18"/>
              </w:rPr>
              <w:t>10</w:t>
            </w:r>
            <w:r w:rsidRPr="00681FB4">
              <w:rPr>
                <w:rFonts w:cstheme="minorHAnsi"/>
                <w:sz w:val="18"/>
                <w:szCs w:val="18"/>
              </w:rPr>
              <w:t>0ms]</w:t>
            </w:r>
            <w:r>
              <w:rPr>
                <w:rFonts w:cstheme="minorHAnsi"/>
                <w:sz w:val="18"/>
                <w:szCs w:val="18"/>
              </w:rPr>
              <w:t>;</w:t>
            </w:r>
          </w:p>
          <w:p w14:paraId="33BEA5D2" w14:textId="77777777" w:rsidR="003C44C4" w:rsidRDefault="003C44C4" w:rsidP="00B26CA9">
            <w:pPr>
              <w:rPr>
                <w:rFonts w:cstheme="minorHAnsi"/>
                <w:sz w:val="18"/>
                <w:szCs w:val="18"/>
              </w:rPr>
            </w:pPr>
            <w:r>
              <w:rPr>
                <w:rFonts w:cstheme="minorHAnsi"/>
                <w:sz w:val="18"/>
                <w:szCs w:val="18"/>
              </w:rPr>
              <w:t>Once the UE receive PDSCH, the UE monitors PDCCH in every slot.</w:t>
            </w:r>
          </w:p>
          <w:p w14:paraId="33EC2A07" w14:textId="77777777" w:rsidR="003C44C4" w:rsidRPr="00681FB4" w:rsidRDefault="003C44C4" w:rsidP="00B26CA9">
            <w:pPr>
              <w:rPr>
                <w:rFonts w:cstheme="minorHAnsi"/>
                <w:sz w:val="18"/>
                <w:szCs w:val="18"/>
              </w:rPr>
            </w:pPr>
            <w:r>
              <w:rPr>
                <w:rFonts w:cstheme="minorHAnsi"/>
                <w:sz w:val="18"/>
                <w:szCs w:val="18"/>
              </w:rPr>
              <w:t>If there is no PDSCH for 20ms, the UE monitors PDCCH with SS duration of 8ms within 20ms periodicity.</w:t>
            </w:r>
          </w:p>
        </w:tc>
      </w:tr>
      <w:tr w:rsidR="003C44C4" w:rsidRPr="00681FB4" w14:paraId="169B2ED7" w14:textId="77777777" w:rsidTr="00B26CA9">
        <w:trPr>
          <w:trHeight w:val="340"/>
          <w:jc w:val="center"/>
        </w:trPr>
        <w:tc>
          <w:tcPr>
            <w:tcW w:w="562" w:type="dxa"/>
            <w:vAlign w:val="center"/>
          </w:tcPr>
          <w:p w14:paraId="745F0D69" w14:textId="77777777" w:rsidR="003C44C4" w:rsidRDefault="003C44C4" w:rsidP="00B26CA9">
            <w:pPr>
              <w:jc w:val="center"/>
              <w:rPr>
                <w:rFonts w:cstheme="minorHAnsi"/>
                <w:sz w:val="18"/>
                <w:szCs w:val="18"/>
              </w:rPr>
            </w:pPr>
            <w:r>
              <w:rPr>
                <w:rFonts w:cstheme="minorHAnsi"/>
                <w:sz w:val="18"/>
                <w:szCs w:val="18"/>
              </w:rPr>
              <w:t>3</w:t>
            </w:r>
          </w:p>
        </w:tc>
        <w:tc>
          <w:tcPr>
            <w:tcW w:w="3544" w:type="dxa"/>
            <w:vAlign w:val="center"/>
          </w:tcPr>
          <w:p w14:paraId="7D925F51" w14:textId="77777777" w:rsidR="003C44C4" w:rsidRDefault="003C44C4" w:rsidP="00B26CA9">
            <w:pPr>
              <w:rPr>
                <w:rFonts w:cstheme="minorHAnsi"/>
                <w:sz w:val="18"/>
                <w:szCs w:val="18"/>
              </w:rPr>
            </w:pPr>
            <w:r>
              <w:rPr>
                <w:rFonts w:cstheme="minorHAnsi"/>
                <w:sz w:val="18"/>
                <w:szCs w:val="18"/>
              </w:rPr>
              <w:t>Long-DRX + PDCCH-skipping</w:t>
            </w:r>
          </w:p>
        </w:tc>
        <w:tc>
          <w:tcPr>
            <w:tcW w:w="5387" w:type="dxa"/>
            <w:vAlign w:val="center"/>
          </w:tcPr>
          <w:p w14:paraId="735F8F19" w14:textId="77777777" w:rsidR="003C44C4" w:rsidRDefault="003C44C4" w:rsidP="00B26CA9">
            <w:pPr>
              <w:rPr>
                <w:rFonts w:cstheme="minorHAnsi"/>
                <w:sz w:val="18"/>
                <w:szCs w:val="18"/>
              </w:rPr>
            </w:pPr>
            <w:r w:rsidRPr="00681FB4">
              <w:rPr>
                <w:rFonts w:cstheme="minorHAnsi"/>
                <w:sz w:val="18"/>
                <w:szCs w:val="18"/>
              </w:rPr>
              <w:t>Long-DRX [160ms; 8ms]; IAT [</w:t>
            </w:r>
            <w:r>
              <w:rPr>
                <w:rFonts w:cstheme="minorHAnsi"/>
                <w:sz w:val="18"/>
                <w:szCs w:val="18"/>
              </w:rPr>
              <w:t>10</w:t>
            </w:r>
            <w:r w:rsidRPr="00681FB4">
              <w:rPr>
                <w:rFonts w:cstheme="minorHAnsi"/>
                <w:sz w:val="18"/>
                <w:szCs w:val="18"/>
              </w:rPr>
              <w:t>0ms]</w:t>
            </w:r>
            <w:r>
              <w:rPr>
                <w:rFonts w:cstheme="minorHAnsi"/>
                <w:sz w:val="18"/>
                <w:szCs w:val="18"/>
              </w:rPr>
              <w:t>;</w:t>
            </w:r>
          </w:p>
          <w:p w14:paraId="3401A8D8" w14:textId="77777777" w:rsidR="003C44C4" w:rsidRDefault="003C44C4" w:rsidP="00B26CA9">
            <w:pPr>
              <w:rPr>
                <w:rFonts w:cstheme="minorHAnsi"/>
                <w:sz w:val="18"/>
                <w:szCs w:val="18"/>
              </w:rPr>
            </w:pPr>
            <w:r>
              <w:rPr>
                <w:rFonts w:cstheme="minorHAnsi"/>
                <w:sz w:val="18"/>
                <w:szCs w:val="18"/>
              </w:rPr>
              <w:t>If there is no data in the buffer for 20ms, the NW sends PDCCH-skipping command to the UE.</w:t>
            </w:r>
          </w:p>
          <w:p w14:paraId="3EB73C90" w14:textId="77777777" w:rsidR="003C44C4" w:rsidRPr="00681FB4" w:rsidRDefault="003C44C4" w:rsidP="00B26CA9">
            <w:pPr>
              <w:rPr>
                <w:rFonts w:cstheme="minorHAnsi"/>
                <w:sz w:val="18"/>
                <w:szCs w:val="18"/>
              </w:rPr>
            </w:pPr>
            <w:r>
              <w:rPr>
                <w:rFonts w:cstheme="minorHAnsi"/>
                <w:sz w:val="18"/>
                <w:szCs w:val="18"/>
              </w:rPr>
              <w:t>The skipping duration varies between 16, 32, and 48ms</w:t>
            </w:r>
          </w:p>
        </w:tc>
      </w:tr>
    </w:tbl>
    <w:p w14:paraId="5A60AF5E" w14:textId="77777777" w:rsidR="003C44C4" w:rsidRDefault="003C44C4" w:rsidP="003C44C4">
      <w:pPr>
        <w:rPr>
          <w:lang w:eastAsia="ja-JP"/>
        </w:rPr>
      </w:pPr>
    </w:p>
    <w:p w14:paraId="4A348B01" w14:textId="77777777" w:rsidR="003C44C4" w:rsidRDefault="003C44C4" w:rsidP="003C44C4">
      <w:pPr>
        <w:rPr>
          <w:lang w:eastAsia="ja-JP"/>
        </w:rPr>
      </w:pPr>
      <w:r>
        <w:rPr>
          <w:lang w:eastAsia="ja-JP"/>
        </w:rPr>
        <w:t>The simulation results can be seen in the following table:</w:t>
      </w:r>
    </w:p>
    <w:p w14:paraId="5CC587BE" w14:textId="77777777" w:rsidR="003C44C4" w:rsidRDefault="003C44C4" w:rsidP="003C44C4">
      <w:pPr>
        <w:rPr>
          <w:lang w:eastAsia="ja-JP"/>
        </w:rPr>
      </w:pPr>
    </w:p>
    <w:p w14:paraId="20F570D2" w14:textId="77777777" w:rsidR="003C44C4" w:rsidRDefault="003C44C4" w:rsidP="003C44C4">
      <w:pPr>
        <w:jc w:val="center"/>
        <w:rPr>
          <w:rFonts w:cs="Arial"/>
          <w:lang w:eastAsia="ja-JP"/>
        </w:rPr>
      </w:pPr>
      <w:r>
        <w:rPr>
          <w:rFonts w:cs="Arial"/>
          <w:b/>
          <w:bCs/>
          <w:lang w:eastAsia="ja-JP"/>
        </w:rPr>
        <w:t xml:space="preserve">Table 2. </w:t>
      </w:r>
      <w:r>
        <w:rPr>
          <w:rFonts w:cs="Arial"/>
          <w:lang w:eastAsia="ja-JP"/>
        </w:rPr>
        <w:t>Power consumption and UPT performance for various power-saving scenarios</w:t>
      </w:r>
    </w:p>
    <w:tbl>
      <w:tblPr>
        <w:tblStyle w:val="TableGrid"/>
        <w:tblW w:w="7243" w:type="dxa"/>
        <w:jc w:val="center"/>
        <w:tblLook w:val="04A0" w:firstRow="1" w:lastRow="0" w:firstColumn="1" w:lastColumn="0" w:noHBand="0" w:noVBand="1"/>
      </w:tblPr>
      <w:tblGrid>
        <w:gridCol w:w="3615"/>
        <w:gridCol w:w="907"/>
        <w:gridCol w:w="907"/>
        <w:gridCol w:w="907"/>
        <w:gridCol w:w="907"/>
      </w:tblGrid>
      <w:tr w:rsidR="003C44C4" w:rsidRPr="00483509" w14:paraId="1B13A58D" w14:textId="77777777" w:rsidTr="00B26CA9">
        <w:trPr>
          <w:jc w:val="center"/>
        </w:trPr>
        <w:tc>
          <w:tcPr>
            <w:tcW w:w="3615" w:type="dxa"/>
            <w:shd w:val="clear" w:color="auto" w:fill="D9E2F3" w:themeFill="accent1" w:themeFillTint="33"/>
            <w:vAlign w:val="center"/>
          </w:tcPr>
          <w:p w14:paraId="02F5F83E" w14:textId="77777777" w:rsidR="003C44C4" w:rsidRPr="00483509" w:rsidRDefault="003C44C4" w:rsidP="00B26CA9">
            <w:pPr>
              <w:jc w:val="center"/>
              <w:rPr>
                <w:sz w:val="18"/>
                <w:szCs w:val="20"/>
              </w:rPr>
            </w:pPr>
            <w:r w:rsidRPr="00483509">
              <w:rPr>
                <w:sz w:val="18"/>
                <w:szCs w:val="20"/>
              </w:rPr>
              <w:t>Methods</w:t>
            </w:r>
          </w:p>
        </w:tc>
        <w:tc>
          <w:tcPr>
            <w:tcW w:w="907" w:type="dxa"/>
            <w:shd w:val="clear" w:color="auto" w:fill="D9E2F3" w:themeFill="accent1" w:themeFillTint="33"/>
            <w:vAlign w:val="center"/>
          </w:tcPr>
          <w:p w14:paraId="31410EBB" w14:textId="77777777" w:rsidR="003C44C4" w:rsidRPr="00483509" w:rsidRDefault="003C44C4" w:rsidP="00B26CA9">
            <w:pPr>
              <w:jc w:val="center"/>
              <w:rPr>
                <w:sz w:val="18"/>
                <w:szCs w:val="20"/>
              </w:rPr>
            </w:pPr>
            <w:r w:rsidRPr="00483509">
              <w:rPr>
                <w:sz w:val="18"/>
                <w:szCs w:val="20"/>
              </w:rPr>
              <w:t>UPT (Mbps)</w:t>
            </w:r>
          </w:p>
        </w:tc>
        <w:tc>
          <w:tcPr>
            <w:tcW w:w="907" w:type="dxa"/>
            <w:shd w:val="clear" w:color="auto" w:fill="D9E2F3" w:themeFill="accent1" w:themeFillTint="33"/>
            <w:vAlign w:val="center"/>
          </w:tcPr>
          <w:p w14:paraId="27DEFC38" w14:textId="77777777" w:rsidR="003C44C4" w:rsidRPr="00483509" w:rsidRDefault="003C44C4" w:rsidP="00B26CA9">
            <w:pPr>
              <w:jc w:val="center"/>
              <w:rPr>
                <w:sz w:val="18"/>
                <w:szCs w:val="20"/>
              </w:rPr>
            </w:pPr>
            <w:r w:rsidRPr="00483509">
              <w:rPr>
                <w:sz w:val="18"/>
                <w:szCs w:val="20"/>
              </w:rPr>
              <w:t>UPT Loss</w:t>
            </w:r>
          </w:p>
          <w:p w14:paraId="307ECA7C" w14:textId="77777777" w:rsidR="003C44C4" w:rsidRPr="00483509" w:rsidRDefault="003C44C4" w:rsidP="00B26CA9">
            <w:pPr>
              <w:jc w:val="center"/>
              <w:rPr>
                <w:sz w:val="18"/>
                <w:szCs w:val="20"/>
              </w:rPr>
            </w:pPr>
            <w:r w:rsidRPr="00483509">
              <w:rPr>
                <w:sz w:val="18"/>
                <w:szCs w:val="20"/>
              </w:rPr>
              <w:t>(%)</w:t>
            </w:r>
          </w:p>
        </w:tc>
        <w:tc>
          <w:tcPr>
            <w:tcW w:w="907" w:type="dxa"/>
            <w:shd w:val="clear" w:color="auto" w:fill="D9E2F3" w:themeFill="accent1" w:themeFillTint="33"/>
            <w:vAlign w:val="center"/>
          </w:tcPr>
          <w:p w14:paraId="0B2ABE3B" w14:textId="77777777" w:rsidR="003C44C4" w:rsidRPr="00483509" w:rsidRDefault="003C44C4" w:rsidP="00B26CA9">
            <w:pPr>
              <w:jc w:val="center"/>
              <w:rPr>
                <w:sz w:val="18"/>
                <w:szCs w:val="20"/>
              </w:rPr>
            </w:pPr>
            <w:r w:rsidRPr="00483509">
              <w:rPr>
                <w:sz w:val="18"/>
                <w:szCs w:val="20"/>
              </w:rPr>
              <w:t>Power</w:t>
            </w:r>
            <w:r>
              <w:rPr>
                <w:sz w:val="18"/>
                <w:szCs w:val="20"/>
              </w:rPr>
              <w:t xml:space="preserve">  (Relative Units)</w:t>
            </w:r>
          </w:p>
        </w:tc>
        <w:tc>
          <w:tcPr>
            <w:tcW w:w="907" w:type="dxa"/>
            <w:shd w:val="clear" w:color="auto" w:fill="D9E2F3" w:themeFill="accent1" w:themeFillTint="33"/>
            <w:vAlign w:val="center"/>
          </w:tcPr>
          <w:p w14:paraId="01D0A658" w14:textId="77777777" w:rsidR="003C44C4" w:rsidRPr="00483509" w:rsidRDefault="003C44C4" w:rsidP="00B26CA9">
            <w:pPr>
              <w:jc w:val="center"/>
              <w:rPr>
                <w:sz w:val="18"/>
                <w:szCs w:val="20"/>
              </w:rPr>
            </w:pPr>
            <w:r w:rsidRPr="00483509">
              <w:rPr>
                <w:sz w:val="18"/>
                <w:szCs w:val="20"/>
              </w:rPr>
              <w:t>Power saving</w:t>
            </w:r>
          </w:p>
          <w:p w14:paraId="3C8A2754" w14:textId="77777777" w:rsidR="003C44C4" w:rsidRPr="00483509" w:rsidRDefault="003C44C4" w:rsidP="00B26CA9">
            <w:pPr>
              <w:jc w:val="center"/>
              <w:rPr>
                <w:sz w:val="18"/>
                <w:szCs w:val="20"/>
              </w:rPr>
            </w:pPr>
            <w:r w:rsidRPr="00483509">
              <w:rPr>
                <w:sz w:val="18"/>
                <w:szCs w:val="20"/>
              </w:rPr>
              <w:t>(%)</w:t>
            </w:r>
          </w:p>
        </w:tc>
      </w:tr>
      <w:tr w:rsidR="003C44C4" w:rsidRPr="00483509" w14:paraId="2EEC3529" w14:textId="77777777" w:rsidTr="00B26CA9">
        <w:trPr>
          <w:trHeight w:val="340"/>
          <w:jc w:val="center"/>
        </w:trPr>
        <w:tc>
          <w:tcPr>
            <w:tcW w:w="3615" w:type="dxa"/>
            <w:vAlign w:val="center"/>
          </w:tcPr>
          <w:p w14:paraId="5BC2C925" w14:textId="77777777" w:rsidR="003C44C4" w:rsidRPr="00483509" w:rsidRDefault="003C44C4" w:rsidP="00B26CA9">
            <w:pPr>
              <w:rPr>
                <w:sz w:val="18"/>
                <w:szCs w:val="20"/>
              </w:rPr>
            </w:pPr>
            <w:r>
              <w:rPr>
                <w:rFonts w:cstheme="minorHAnsi"/>
                <w:sz w:val="18"/>
                <w:szCs w:val="18"/>
              </w:rPr>
              <w:t>Long-DRX only</w:t>
            </w:r>
          </w:p>
        </w:tc>
        <w:tc>
          <w:tcPr>
            <w:tcW w:w="907" w:type="dxa"/>
            <w:vAlign w:val="center"/>
          </w:tcPr>
          <w:p w14:paraId="5AAB6FC0" w14:textId="77777777" w:rsidR="003C44C4" w:rsidRPr="00483509" w:rsidRDefault="003C44C4" w:rsidP="00B26CA9">
            <w:pPr>
              <w:jc w:val="right"/>
              <w:rPr>
                <w:color w:val="000000" w:themeColor="text1"/>
                <w:sz w:val="18"/>
                <w:szCs w:val="20"/>
              </w:rPr>
            </w:pPr>
            <w:r>
              <w:rPr>
                <w:color w:val="000000" w:themeColor="text1"/>
                <w:sz w:val="18"/>
                <w:szCs w:val="20"/>
              </w:rPr>
              <w:t>35.10</w:t>
            </w:r>
          </w:p>
        </w:tc>
        <w:tc>
          <w:tcPr>
            <w:tcW w:w="907" w:type="dxa"/>
            <w:shd w:val="clear" w:color="auto" w:fill="D0CECE" w:themeFill="background2" w:themeFillShade="E6"/>
            <w:vAlign w:val="center"/>
          </w:tcPr>
          <w:p w14:paraId="7DEAF462" w14:textId="77777777" w:rsidR="003C44C4" w:rsidRPr="00483509" w:rsidRDefault="003C44C4" w:rsidP="00B26CA9">
            <w:pPr>
              <w:jc w:val="right"/>
              <w:rPr>
                <w:color w:val="000000" w:themeColor="text1"/>
                <w:sz w:val="18"/>
                <w:szCs w:val="20"/>
              </w:rPr>
            </w:pPr>
          </w:p>
        </w:tc>
        <w:tc>
          <w:tcPr>
            <w:tcW w:w="907" w:type="dxa"/>
            <w:vAlign w:val="center"/>
          </w:tcPr>
          <w:p w14:paraId="39AE596D" w14:textId="77777777" w:rsidR="003C44C4" w:rsidRPr="00483509" w:rsidRDefault="003C44C4" w:rsidP="00B26CA9">
            <w:pPr>
              <w:jc w:val="right"/>
              <w:rPr>
                <w:color w:val="000000" w:themeColor="text1"/>
                <w:sz w:val="18"/>
                <w:szCs w:val="20"/>
              </w:rPr>
            </w:pPr>
            <w:r>
              <w:rPr>
                <w:color w:val="000000" w:themeColor="text1"/>
                <w:sz w:val="18"/>
                <w:szCs w:val="20"/>
              </w:rPr>
              <w:t>41.32</w:t>
            </w:r>
          </w:p>
        </w:tc>
        <w:tc>
          <w:tcPr>
            <w:tcW w:w="907" w:type="dxa"/>
            <w:shd w:val="clear" w:color="auto" w:fill="D0CECE" w:themeFill="background2" w:themeFillShade="E6"/>
            <w:vAlign w:val="center"/>
          </w:tcPr>
          <w:p w14:paraId="70A96DF5" w14:textId="77777777" w:rsidR="003C44C4" w:rsidRPr="00483509" w:rsidRDefault="003C44C4" w:rsidP="00B26CA9">
            <w:pPr>
              <w:jc w:val="right"/>
              <w:rPr>
                <w:color w:val="000000" w:themeColor="text1"/>
                <w:sz w:val="18"/>
                <w:szCs w:val="20"/>
              </w:rPr>
            </w:pPr>
          </w:p>
        </w:tc>
      </w:tr>
      <w:tr w:rsidR="003C44C4" w:rsidRPr="00483509" w14:paraId="2A247B7A" w14:textId="77777777" w:rsidTr="00B26CA9">
        <w:trPr>
          <w:trHeight w:val="340"/>
          <w:jc w:val="center"/>
        </w:trPr>
        <w:tc>
          <w:tcPr>
            <w:tcW w:w="3615" w:type="dxa"/>
            <w:vAlign w:val="center"/>
          </w:tcPr>
          <w:p w14:paraId="36C021C3" w14:textId="77777777" w:rsidR="003C44C4" w:rsidRPr="00483509" w:rsidRDefault="003C44C4" w:rsidP="00B26CA9">
            <w:pPr>
              <w:rPr>
                <w:sz w:val="18"/>
                <w:szCs w:val="20"/>
              </w:rPr>
            </w:pPr>
            <w:r>
              <w:rPr>
                <w:rFonts w:cstheme="minorHAnsi"/>
                <w:sz w:val="18"/>
                <w:szCs w:val="18"/>
              </w:rPr>
              <w:t>Long-DRX + SS-switching</w:t>
            </w:r>
          </w:p>
        </w:tc>
        <w:tc>
          <w:tcPr>
            <w:tcW w:w="907" w:type="dxa"/>
            <w:vAlign w:val="center"/>
          </w:tcPr>
          <w:p w14:paraId="03DC14B4" w14:textId="77777777" w:rsidR="003C44C4" w:rsidRPr="00483509" w:rsidRDefault="003C44C4" w:rsidP="00B26CA9">
            <w:pPr>
              <w:jc w:val="right"/>
              <w:rPr>
                <w:sz w:val="18"/>
                <w:szCs w:val="20"/>
              </w:rPr>
            </w:pPr>
            <w:r>
              <w:rPr>
                <w:rFonts w:cstheme="minorHAnsi"/>
                <w:sz w:val="18"/>
                <w:szCs w:val="18"/>
              </w:rPr>
              <w:t>34.10</w:t>
            </w:r>
          </w:p>
        </w:tc>
        <w:tc>
          <w:tcPr>
            <w:tcW w:w="907" w:type="dxa"/>
            <w:vAlign w:val="center"/>
          </w:tcPr>
          <w:p w14:paraId="2D12EF38" w14:textId="77777777" w:rsidR="003C44C4" w:rsidRPr="00483509" w:rsidRDefault="003C44C4" w:rsidP="00B26CA9">
            <w:pPr>
              <w:jc w:val="right"/>
              <w:rPr>
                <w:sz w:val="18"/>
                <w:szCs w:val="20"/>
              </w:rPr>
            </w:pPr>
            <w:r>
              <w:rPr>
                <w:rFonts w:cstheme="minorHAnsi"/>
                <w:sz w:val="18"/>
                <w:szCs w:val="18"/>
              </w:rPr>
              <w:t>2.9%</w:t>
            </w:r>
          </w:p>
        </w:tc>
        <w:tc>
          <w:tcPr>
            <w:tcW w:w="907" w:type="dxa"/>
            <w:vAlign w:val="center"/>
          </w:tcPr>
          <w:p w14:paraId="4A70092A" w14:textId="77777777" w:rsidR="003C44C4" w:rsidRPr="00483509" w:rsidRDefault="003C44C4" w:rsidP="00B26CA9">
            <w:pPr>
              <w:jc w:val="right"/>
              <w:rPr>
                <w:sz w:val="18"/>
                <w:szCs w:val="20"/>
              </w:rPr>
            </w:pPr>
            <w:r>
              <w:rPr>
                <w:rFonts w:cstheme="minorHAnsi"/>
                <w:sz w:val="18"/>
                <w:szCs w:val="18"/>
              </w:rPr>
              <w:t>33.14</w:t>
            </w:r>
          </w:p>
        </w:tc>
        <w:tc>
          <w:tcPr>
            <w:tcW w:w="907" w:type="dxa"/>
            <w:vAlign w:val="center"/>
          </w:tcPr>
          <w:p w14:paraId="471C7795" w14:textId="77777777" w:rsidR="003C44C4" w:rsidRPr="00483509" w:rsidRDefault="003C44C4" w:rsidP="00B26CA9">
            <w:pPr>
              <w:jc w:val="right"/>
              <w:rPr>
                <w:sz w:val="18"/>
                <w:szCs w:val="20"/>
              </w:rPr>
            </w:pPr>
            <w:r>
              <w:rPr>
                <w:rFonts w:cstheme="minorHAnsi"/>
                <w:sz w:val="18"/>
                <w:szCs w:val="18"/>
              </w:rPr>
              <w:t>19.8%</w:t>
            </w:r>
          </w:p>
        </w:tc>
      </w:tr>
      <w:tr w:rsidR="003C44C4" w:rsidRPr="00483509" w14:paraId="488DEE6E" w14:textId="77777777" w:rsidTr="00B26CA9">
        <w:trPr>
          <w:trHeight w:val="340"/>
          <w:jc w:val="center"/>
        </w:trPr>
        <w:tc>
          <w:tcPr>
            <w:tcW w:w="3615" w:type="dxa"/>
            <w:vAlign w:val="center"/>
          </w:tcPr>
          <w:p w14:paraId="54A1C3D2" w14:textId="77777777" w:rsidR="003C44C4" w:rsidRDefault="003C44C4" w:rsidP="00B26CA9">
            <w:pPr>
              <w:rPr>
                <w:rFonts w:cstheme="minorHAnsi"/>
                <w:sz w:val="18"/>
                <w:szCs w:val="18"/>
              </w:rPr>
            </w:pPr>
            <w:r>
              <w:rPr>
                <w:rFonts w:cstheme="minorHAnsi"/>
                <w:sz w:val="18"/>
                <w:szCs w:val="18"/>
              </w:rPr>
              <w:t>Long-DRX + PDCCH-skipping [16ms]</w:t>
            </w:r>
          </w:p>
        </w:tc>
        <w:tc>
          <w:tcPr>
            <w:tcW w:w="907" w:type="dxa"/>
            <w:vAlign w:val="center"/>
          </w:tcPr>
          <w:p w14:paraId="5CE23A96" w14:textId="77777777" w:rsidR="003C44C4" w:rsidRDefault="003C44C4" w:rsidP="00B26CA9">
            <w:pPr>
              <w:jc w:val="right"/>
              <w:rPr>
                <w:sz w:val="18"/>
                <w:szCs w:val="20"/>
              </w:rPr>
            </w:pPr>
            <w:r>
              <w:rPr>
                <w:rFonts w:cstheme="minorHAnsi"/>
                <w:sz w:val="18"/>
                <w:szCs w:val="18"/>
              </w:rPr>
              <w:t>33.55</w:t>
            </w:r>
          </w:p>
        </w:tc>
        <w:tc>
          <w:tcPr>
            <w:tcW w:w="907" w:type="dxa"/>
            <w:vAlign w:val="center"/>
          </w:tcPr>
          <w:p w14:paraId="6DEE6A86" w14:textId="77777777" w:rsidR="003C44C4" w:rsidRDefault="003C44C4" w:rsidP="00B26CA9">
            <w:pPr>
              <w:jc w:val="right"/>
              <w:rPr>
                <w:sz w:val="18"/>
                <w:szCs w:val="20"/>
              </w:rPr>
            </w:pPr>
            <w:r>
              <w:rPr>
                <w:rFonts w:cstheme="minorHAnsi"/>
                <w:sz w:val="18"/>
                <w:szCs w:val="18"/>
              </w:rPr>
              <w:t>4.4%</w:t>
            </w:r>
          </w:p>
        </w:tc>
        <w:tc>
          <w:tcPr>
            <w:tcW w:w="907" w:type="dxa"/>
            <w:vAlign w:val="center"/>
          </w:tcPr>
          <w:p w14:paraId="6E79954E" w14:textId="77777777" w:rsidR="003C44C4" w:rsidRDefault="003C44C4" w:rsidP="00B26CA9">
            <w:pPr>
              <w:jc w:val="right"/>
              <w:rPr>
                <w:sz w:val="18"/>
                <w:szCs w:val="20"/>
              </w:rPr>
            </w:pPr>
            <w:r>
              <w:rPr>
                <w:rFonts w:cstheme="minorHAnsi"/>
                <w:sz w:val="18"/>
                <w:szCs w:val="18"/>
              </w:rPr>
              <w:t>37.05</w:t>
            </w:r>
          </w:p>
        </w:tc>
        <w:tc>
          <w:tcPr>
            <w:tcW w:w="907" w:type="dxa"/>
            <w:vAlign w:val="center"/>
          </w:tcPr>
          <w:p w14:paraId="4961D0A4" w14:textId="77777777" w:rsidR="003C44C4" w:rsidRDefault="003C44C4" w:rsidP="00B26CA9">
            <w:pPr>
              <w:jc w:val="right"/>
              <w:rPr>
                <w:sz w:val="18"/>
                <w:szCs w:val="20"/>
              </w:rPr>
            </w:pPr>
            <w:r>
              <w:rPr>
                <w:rFonts w:cstheme="minorHAnsi"/>
                <w:sz w:val="18"/>
                <w:szCs w:val="18"/>
              </w:rPr>
              <w:t>10.3%</w:t>
            </w:r>
          </w:p>
        </w:tc>
      </w:tr>
      <w:tr w:rsidR="003C44C4" w:rsidRPr="00483509" w14:paraId="63FB78AC" w14:textId="77777777" w:rsidTr="00B26CA9">
        <w:trPr>
          <w:trHeight w:val="340"/>
          <w:jc w:val="center"/>
        </w:trPr>
        <w:tc>
          <w:tcPr>
            <w:tcW w:w="3615" w:type="dxa"/>
            <w:vAlign w:val="center"/>
          </w:tcPr>
          <w:p w14:paraId="0800DD69" w14:textId="77777777" w:rsidR="003C44C4" w:rsidRDefault="003C44C4" w:rsidP="00B26CA9">
            <w:pPr>
              <w:rPr>
                <w:rFonts w:cstheme="minorHAnsi"/>
                <w:sz w:val="18"/>
                <w:szCs w:val="18"/>
              </w:rPr>
            </w:pPr>
            <w:r>
              <w:rPr>
                <w:rFonts w:cstheme="minorHAnsi"/>
                <w:sz w:val="18"/>
                <w:szCs w:val="18"/>
              </w:rPr>
              <w:t>Long-DRX + PDCCH-skipping [32ms]</w:t>
            </w:r>
          </w:p>
        </w:tc>
        <w:tc>
          <w:tcPr>
            <w:tcW w:w="907" w:type="dxa"/>
            <w:vAlign w:val="center"/>
          </w:tcPr>
          <w:p w14:paraId="243ACAC1" w14:textId="77777777" w:rsidR="003C44C4" w:rsidRDefault="003C44C4" w:rsidP="00B26CA9">
            <w:pPr>
              <w:jc w:val="right"/>
              <w:rPr>
                <w:sz w:val="18"/>
                <w:szCs w:val="20"/>
              </w:rPr>
            </w:pPr>
            <w:r>
              <w:rPr>
                <w:rFonts w:cstheme="minorHAnsi"/>
                <w:sz w:val="18"/>
                <w:szCs w:val="18"/>
              </w:rPr>
              <w:t>33.27</w:t>
            </w:r>
          </w:p>
        </w:tc>
        <w:tc>
          <w:tcPr>
            <w:tcW w:w="907" w:type="dxa"/>
            <w:vAlign w:val="center"/>
          </w:tcPr>
          <w:p w14:paraId="7E811E22" w14:textId="77777777" w:rsidR="003C44C4" w:rsidRDefault="003C44C4" w:rsidP="00B26CA9">
            <w:pPr>
              <w:jc w:val="right"/>
              <w:rPr>
                <w:sz w:val="18"/>
                <w:szCs w:val="20"/>
              </w:rPr>
            </w:pPr>
            <w:r>
              <w:rPr>
                <w:rFonts w:cstheme="minorHAnsi"/>
                <w:sz w:val="18"/>
                <w:szCs w:val="18"/>
              </w:rPr>
              <w:t>8.1%</w:t>
            </w:r>
          </w:p>
        </w:tc>
        <w:tc>
          <w:tcPr>
            <w:tcW w:w="907" w:type="dxa"/>
            <w:vAlign w:val="center"/>
          </w:tcPr>
          <w:p w14:paraId="3A6DFE41" w14:textId="77777777" w:rsidR="003C44C4" w:rsidRDefault="003C44C4" w:rsidP="00B26CA9">
            <w:pPr>
              <w:jc w:val="right"/>
              <w:rPr>
                <w:sz w:val="18"/>
                <w:szCs w:val="20"/>
              </w:rPr>
            </w:pPr>
            <w:r>
              <w:rPr>
                <w:rFonts w:cstheme="minorHAnsi"/>
                <w:sz w:val="18"/>
                <w:szCs w:val="18"/>
              </w:rPr>
              <w:t>33.29</w:t>
            </w:r>
          </w:p>
        </w:tc>
        <w:tc>
          <w:tcPr>
            <w:tcW w:w="907" w:type="dxa"/>
            <w:vAlign w:val="center"/>
          </w:tcPr>
          <w:p w14:paraId="28BFDFDA" w14:textId="77777777" w:rsidR="003C44C4" w:rsidRDefault="003C44C4" w:rsidP="00B26CA9">
            <w:pPr>
              <w:jc w:val="right"/>
              <w:rPr>
                <w:sz w:val="18"/>
                <w:szCs w:val="20"/>
              </w:rPr>
            </w:pPr>
            <w:r>
              <w:rPr>
                <w:rFonts w:cstheme="minorHAnsi"/>
                <w:sz w:val="18"/>
                <w:szCs w:val="18"/>
              </w:rPr>
              <w:t>19.4%</w:t>
            </w:r>
          </w:p>
        </w:tc>
      </w:tr>
      <w:tr w:rsidR="003C44C4" w:rsidRPr="00483509" w14:paraId="16F9C177" w14:textId="77777777" w:rsidTr="00B26CA9">
        <w:trPr>
          <w:trHeight w:val="340"/>
          <w:jc w:val="center"/>
        </w:trPr>
        <w:tc>
          <w:tcPr>
            <w:tcW w:w="3615" w:type="dxa"/>
            <w:vAlign w:val="center"/>
          </w:tcPr>
          <w:p w14:paraId="41514D74" w14:textId="77777777" w:rsidR="003C44C4" w:rsidRDefault="003C44C4" w:rsidP="00B26CA9">
            <w:pPr>
              <w:rPr>
                <w:rFonts w:cstheme="minorHAnsi"/>
                <w:sz w:val="18"/>
                <w:szCs w:val="18"/>
              </w:rPr>
            </w:pPr>
            <w:r>
              <w:rPr>
                <w:rFonts w:cstheme="minorHAnsi"/>
                <w:sz w:val="18"/>
                <w:szCs w:val="18"/>
              </w:rPr>
              <w:t>Long-DRX + PDCCH-skipping [48ms]</w:t>
            </w:r>
          </w:p>
        </w:tc>
        <w:tc>
          <w:tcPr>
            <w:tcW w:w="907" w:type="dxa"/>
            <w:vAlign w:val="center"/>
          </w:tcPr>
          <w:p w14:paraId="6715355A" w14:textId="77777777" w:rsidR="003C44C4" w:rsidRDefault="003C44C4" w:rsidP="00B26CA9">
            <w:pPr>
              <w:jc w:val="right"/>
              <w:rPr>
                <w:sz w:val="18"/>
                <w:szCs w:val="20"/>
              </w:rPr>
            </w:pPr>
            <w:r>
              <w:rPr>
                <w:rFonts w:cstheme="minorHAnsi"/>
                <w:sz w:val="18"/>
                <w:szCs w:val="18"/>
              </w:rPr>
              <w:t>30.86</w:t>
            </w:r>
          </w:p>
        </w:tc>
        <w:tc>
          <w:tcPr>
            <w:tcW w:w="907" w:type="dxa"/>
            <w:vAlign w:val="center"/>
          </w:tcPr>
          <w:p w14:paraId="33ACB236" w14:textId="77777777" w:rsidR="003C44C4" w:rsidRDefault="003C44C4" w:rsidP="00B26CA9">
            <w:pPr>
              <w:jc w:val="right"/>
              <w:rPr>
                <w:sz w:val="18"/>
                <w:szCs w:val="20"/>
              </w:rPr>
            </w:pPr>
            <w:r>
              <w:rPr>
                <w:rFonts w:cstheme="minorHAnsi"/>
                <w:sz w:val="18"/>
                <w:szCs w:val="18"/>
              </w:rPr>
              <w:t>12.1%</w:t>
            </w:r>
          </w:p>
        </w:tc>
        <w:tc>
          <w:tcPr>
            <w:tcW w:w="907" w:type="dxa"/>
            <w:vAlign w:val="center"/>
          </w:tcPr>
          <w:p w14:paraId="033D8668" w14:textId="77777777" w:rsidR="003C44C4" w:rsidRDefault="003C44C4" w:rsidP="00B26CA9">
            <w:pPr>
              <w:jc w:val="right"/>
              <w:rPr>
                <w:sz w:val="18"/>
                <w:szCs w:val="20"/>
              </w:rPr>
            </w:pPr>
            <w:r>
              <w:rPr>
                <w:rFonts w:cstheme="minorHAnsi"/>
                <w:sz w:val="18"/>
                <w:szCs w:val="18"/>
              </w:rPr>
              <w:t>30.00</w:t>
            </w:r>
          </w:p>
        </w:tc>
        <w:tc>
          <w:tcPr>
            <w:tcW w:w="907" w:type="dxa"/>
            <w:vAlign w:val="center"/>
          </w:tcPr>
          <w:p w14:paraId="6A59ED84" w14:textId="77777777" w:rsidR="003C44C4" w:rsidRDefault="003C44C4" w:rsidP="00B26CA9">
            <w:pPr>
              <w:jc w:val="right"/>
              <w:rPr>
                <w:sz w:val="18"/>
                <w:szCs w:val="20"/>
              </w:rPr>
            </w:pPr>
            <w:r>
              <w:rPr>
                <w:rFonts w:cstheme="minorHAnsi"/>
                <w:sz w:val="18"/>
                <w:szCs w:val="18"/>
              </w:rPr>
              <w:t>27.4%</w:t>
            </w:r>
          </w:p>
        </w:tc>
      </w:tr>
    </w:tbl>
    <w:p w14:paraId="067FBAEA" w14:textId="77777777" w:rsidR="003C44C4" w:rsidRDefault="003C44C4" w:rsidP="003C44C4">
      <w:pPr>
        <w:rPr>
          <w:lang w:eastAsia="ja-JP"/>
        </w:rPr>
      </w:pPr>
    </w:p>
    <w:p w14:paraId="6D325DD3" w14:textId="77777777" w:rsidR="003C44C4" w:rsidRPr="004B3065" w:rsidRDefault="003C44C4" w:rsidP="003C44C4">
      <w:pPr>
        <w:jc w:val="both"/>
        <w:rPr>
          <w:lang w:eastAsia="ja-JP"/>
        </w:rPr>
      </w:pPr>
      <w:r>
        <w:rPr>
          <w:lang w:eastAsia="ja-JP"/>
        </w:rPr>
        <w:t>From the above simulation results, we can observe that by using SS-switching, 19.8% of power saving can be achieved at the cost of 2.9% of UPT loss. Using PDCCH-skipping, similar power-saving gain costs about 8.1% UPT loss. In other words, waking-up periodically (i.e., through SS-switching) is beneficial from the UPT-loss vs power-saving trade off perspective.</w:t>
      </w:r>
    </w:p>
    <w:p w14:paraId="4046580C" w14:textId="77777777" w:rsidR="003C44C4" w:rsidRPr="00370301" w:rsidRDefault="003C44C4" w:rsidP="003C44C4">
      <w:pPr>
        <w:rPr>
          <w:lang w:val="en-GB" w:eastAsia="ja-JP"/>
        </w:rPr>
      </w:pPr>
    </w:p>
    <w:p w14:paraId="65AC8984" w14:textId="77777777" w:rsidR="003C44C4" w:rsidRDefault="003C44C4" w:rsidP="003C44C4">
      <w:pPr>
        <w:pStyle w:val="Heading2"/>
      </w:pPr>
      <w:r>
        <w:lastRenderedPageBreak/>
        <w:t>2. 1.</w:t>
      </w:r>
      <w:r>
        <w:tab/>
        <w:t>Simulation results for long-DRX + short-DRX</w:t>
      </w:r>
    </w:p>
    <w:p w14:paraId="27247FE5" w14:textId="77777777" w:rsidR="003C44C4" w:rsidRDefault="003C44C4" w:rsidP="003C44C4">
      <w:pPr>
        <w:jc w:val="both"/>
        <w:rPr>
          <w:lang w:val="en-GB" w:eastAsia="ja-JP"/>
        </w:rPr>
      </w:pPr>
      <w:r>
        <w:rPr>
          <w:lang w:val="en-GB" w:eastAsia="ja-JP"/>
        </w:rPr>
        <w:t>When a UE is configured with both long and short-DRX, the UE will go first to short-DRX after IAT expires. The number of short-DRX cycle run by the UE before entering the long-DRX cycle is shown by the short-DRX cycle timer parameter. Here, the short-DRX cycle can be used to replace part of the IAT to save power. The timeline of the UE implementing PDCCH monitoring adaptation using this configuration is shown in below figure:</w:t>
      </w:r>
    </w:p>
    <w:p w14:paraId="3E4B4018" w14:textId="77777777" w:rsidR="003C44C4" w:rsidRDefault="003C44C4" w:rsidP="003C44C4">
      <w:pPr>
        <w:rPr>
          <w:lang w:val="en-GB" w:eastAsia="ja-JP"/>
        </w:rPr>
      </w:pPr>
    </w:p>
    <w:p w14:paraId="67E6B2A1" w14:textId="77777777" w:rsidR="003C44C4" w:rsidRDefault="003C44C4" w:rsidP="003C44C4">
      <w:pPr>
        <w:jc w:val="center"/>
        <w:rPr>
          <w:lang w:val="en-GB" w:eastAsia="ja-JP"/>
        </w:rPr>
      </w:pPr>
      <w:r>
        <w:rPr>
          <w:noProof/>
          <w:lang w:val="en-GB" w:eastAsia="ja-JP"/>
        </w:rPr>
        <w:drawing>
          <wp:inline distT="0" distB="0" distL="0" distR="0" wp14:anchorId="37891AA3" wp14:editId="21CFA56D">
            <wp:extent cx="5400000" cy="118079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0000" cy="1180793"/>
                    </a:xfrm>
                    <a:prstGeom prst="rect">
                      <a:avLst/>
                    </a:prstGeom>
                    <a:noFill/>
                  </pic:spPr>
                </pic:pic>
              </a:graphicData>
            </a:graphic>
          </wp:inline>
        </w:drawing>
      </w:r>
    </w:p>
    <w:p w14:paraId="185FC97F" w14:textId="77777777" w:rsidR="003C44C4" w:rsidRDefault="003C44C4" w:rsidP="003C44C4">
      <w:pPr>
        <w:jc w:val="center"/>
        <w:rPr>
          <w:lang w:val="en-GB" w:eastAsia="ja-JP"/>
        </w:rPr>
      </w:pPr>
      <w:r>
        <w:rPr>
          <w:lang w:val="en-GB" w:eastAsia="ja-JP"/>
        </w:rPr>
        <w:t>(a)</w:t>
      </w:r>
    </w:p>
    <w:p w14:paraId="2DC1BC0B" w14:textId="77777777" w:rsidR="003C44C4" w:rsidRDefault="003C44C4" w:rsidP="003C44C4">
      <w:pPr>
        <w:jc w:val="center"/>
        <w:rPr>
          <w:lang w:val="en-GB" w:eastAsia="ja-JP"/>
        </w:rPr>
      </w:pPr>
      <w:r>
        <w:rPr>
          <w:noProof/>
          <w:lang w:val="en-GB" w:eastAsia="ja-JP"/>
        </w:rPr>
        <w:drawing>
          <wp:inline distT="0" distB="0" distL="0" distR="0" wp14:anchorId="360A01A4" wp14:editId="38EDCF83">
            <wp:extent cx="5400000" cy="117704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177043"/>
                    </a:xfrm>
                    <a:prstGeom prst="rect">
                      <a:avLst/>
                    </a:prstGeom>
                    <a:noFill/>
                  </pic:spPr>
                </pic:pic>
              </a:graphicData>
            </a:graphic>
          </wp:inline>
        </w:drawing>
      </w:r>
    </w:p>
    <w:p w14:paraId="7C57C098" w14:textId="77777777" w:rsidR="003C44C4" w:rsidRDefault="003C44C4" w:rsidP="003C44C4">
      <w:pPr>
        <w:jc w:val="center"/>
        <w:rPr>
          <w:lang w:val="en-GB" w:eastAsia="ja-JP"/>
        </w:rPr>
      </w:pPr>
      <w:r>
        <w:rPr>
          <w:lang w:val="en-GB" w:eastAsia="ja-JP"/>
        </w:rPr>
        <w:t>(b)</w:t>
      </w:r>
    </w:p>
    <w:p w14:paraId="4D8475D0" w14:textId="77777777" w:rsidR="003C44C4" w:rsidRDefault="003C44C4" w:rsidP="003C44C4">
      <w:pPr>
        <w:spacing w:after="0"/>
        <w:jc w:val="center"/>
        <w:rPr>
          <w:lang w:val="en-GB" w:eastAsia="ja-JP"/>
        </w:rPr>
      </w:pPr>
      <w:r>
        <w:rPr>
          <w:lang w:val="en-GB" w:eastAsia="ja-JP"/>
        </w:rPr>
        <w:t>Figure 2. PDCCH monitoring adaptation inside the IAT (long-DRX + short-DRX case)</w:t>
      </w:r>
    </w:p>
    <w:p w14:paraId="6DA88A4C" w14:textId="77777777" w:rsidR="003C44C4" w:rsidRDefault="003C44C4" w:rsidP="003C44C4">
      <w:pPr>
        <w:jc w:val="center"/>
        <w:rPr>
          <w:lang w:val="en-GB" w:eastAsia="ja-JP"/>
        </w:rPr>
      </w:pPr>
      <w:r>
        <w:rPr>
          <w:lang w:val="en-GB" w:eastAsia="ja-JP"/>
        </w:rPr>
        <w:t>SS-switching; (b) PDCCH-skipping</w:t>
      </w:r>
    </w:p>
    <w:p w14:paraId="75CE685D" w14:textId="77777777" w:rsidR="003C44C4" w:rsidRDefault="003C44C4" w:rsidP="003C44C4">
      <w:pPr>
        <w:jc w:val="center"/>
        <w:rPr>
          <w:lang w:val="en-GB" w:eastAsia="ja-JP"/>
        </w:rPr>
      </w:pPr>
    </w:p>
    <w:p w14:paraId="0A86A136" w14:textId="77777777" w:rsidR="003C44C4" w:rsidRDefault="003C44C4" w:rsidP="003C44C4">
      <w:pPr>
        <w:rPr>
          <w:rFonts w:cs="Arial"/>
          <w:lang w:eastAsia="ja-JP"/>
        </w:rPr>
      </w:pPr>
      <w:r w:rsidRPr="00DC09F5">
        <w:rPr>
          <w:rFonts w:cs="Arial"/>
          <w:lang w:eastAsia="ja-JP"/>
        </w:rPr>
        <w:t>The simulation used FTP3 traffic type is used with a packet size of 0.5 MB and a mean inter-arrival time of 200ms</w:t>
      </w:r>
      <w:r>
        <w:rPr>
          <w:rFonts w:cs="Arial"/>
          <w:lang w:eastAsia="ja-JP"/>
        </w:rPr>
        <w:t xml:space="preserve">, </w:t>
      </w:r>
      <w:r w:rsidRPr="002527DC">
        <w:rPr>
          <w:rFonts w:cs="Arial"/>
          <w:lang w:eastAsia="ja-JP"/>
        </w:rPr>
        <w:t>i.e., according to TS 38.84</w:t>
      </w:r>
      <w:r>
        <w:rPr>
          <w:rFonts w:cs="Arial"/>
          <w:lang w:eastAsia="ja-JP"/>
        </w:rPr>
        <w:t>0</w:t>
      </w:r>
      <w:r w:rsidRPr="00DC09F5">
        <w:rPr>
          <w:rFonts w:cs="Arial"/>
          <w:lang w:eastAsia="ja-JP"/>
        </w:rPr>
        <w:t>. The parameter of each methods can be seen in below table.</w:t>
      </w:r>
    </w:p>
    <w:p w14:paraId="69E35DF8" w14:textId="77777777" w:rsidR="003C44C4" w:rsidRDefault="003C44C4" w:rsidP="003C44C4">
      <w:pPr>
        <w:jc w:val="center"/>
        <w:rPr>
          <w:lang w:val="en-GB" w:eastAsia="ja-JP"/>
        </w:rPr>
      </w:pPr>
      <w:r>
        <w:rPr>
          <w:rFonts w:cs="Arial"/>
          <w:b/>
          <w:bCs/>
          <w:lang w:eastAsia="ja-JP"/>
        </w:rPr>
        <w:t xml:space="preserve">Table 3. </w:t>
      </w:r>
      <w:r>
        <w:rPr>
          <w:rFonts w:cs="Arial"/>
          <w:lang w:eastAsia="ja-JP"/>
        </w:rPr>
        <w:t>Parameter set-up for each power-saving scenario</w:t>
      </w:r>
    </w:p>
    <w:tbl>
      <w:tblPr>
        <w:tblStyle w:val="TableGrid"/>
        <w:tblW w:w="9493" w:type="dxa"/>
        <w:jc w:val="center"/>
        <w:tblLayout w:type="fixed"/>
        <w:tblLook w:val="04A0" w:firstRow="1" w:lastRow="0" w:firstColumn="1" w:lastColumn="0" w:noHBand="0" w:noVBand="1"/>
      </w:tblPr>
      <w:tblGrid>
        <w:gridCol w:w="562"/>
        <w:gridCol w:w="3544"/>
        <w:gridCol w:w="5387"/>
      </w:tblGrid>
      <w:tr w:rsidR="003C44C4" w:rsidRPr="00681FB4" w14:paraId="63597A09" w14:textId="77777777" w:rsidTr="00B26CA9">
        <w:trPr>
          <w:trHeight w:val="483"/>
          <w:jc w:val="center"/>
        </w:trPr>
        <w:tc>
          <w:tcPr>
            <w:tcW w:w="562" w:type="dxa"/>
            <w:shd w:val="clear" w:color="auto" w:fill="D9E2F3" w:themeFill="accent1" w:themeFillTint="33"/>
            <w:vAlign w:val="center"/>
          </w:tcPr>
          <w:p w14:paraId="5298ECA0" w14:textId="77777777" w:rsidR="003C44C4" w:rsidRPr="00681FB4" w:rsidRDefault="003C44C4" w:rsidP="00B26CA9">
            <w:pPr>
              <w:jc w:val="center"/>
              <w:rPr>
                <w:rFonts w:cstheme="minorHAnsi"/>
                <w:sz w:val="18"/>
                <w:szCs w:val="18"/>
              </w:rPr>
            </w:pPr>
            <w:r>
              <w:rPr>
                <w:rFonts w:cstheme="minorHAnsi"/>
                <w:sz w:val="18"/>
                <w:szCs w:val="18"/>
              </w:rPr>
              <w:t>No</w:t>
            </w:r>
          </w:p>
        </w:tc>
        <w:tc>
          <w:tcPr>
            <w:tcW w:w="3544" w:type="dxa"/>
            <w:shd w:val="clear" w:color="auto" w:fill="D9E2F3" w:themeFill="accent1" w:themeFillTint="33"/>
            <w:vAlign w:val="center"/>
          </w:tcPr>
          <w:p w14:paraId="4FBAA7CA" w14:textId="77777777" w:rsidR="003C44C4" w:rsidRPr="00681FB4" w:rsidRDefault="003C44C4" w:rsidP="00B26CA9">
            <w:pPr>
              <w:rPr>
                <w:rFonts w:cstheme="minorHAnsi"/>
                <w:sz w:val="18"/>
                <w:szCs w:val="18"/>
              </w:rPr>
            </w:pPr>
            <w:r w:rsidRPr="00681FB4">
              <w:rPr>
                <w:rFonts w:cstheme="minorHAnsi"/>
                <w:sz w:val="18"/>
                <w:szCs w:val="18"/>
              </w:rPr>
              <w:t>Methods</w:t>
            </w:r>
          </w:p>
        </w:tc>
        <w:tc>
          <w:tcPr>
            <w:tcW w:w="5387" w:type="dxa"/>
            <w:shd w:val="clear" w:color="auto" w:fill="D9E2F3" w:themeFill="accent1" w:themeFillTint="33"/>
            <w:vAlign w:val="center"/>
          </w:tcPr>
          <w:p w14:paraId="46C3DF47" w14:textId="77777777" w:rsidR="003C44C4" w:rsidRPr="00681FB4" w:rsidRDefault="003C44C4" w:rsidP="00B26CA9">
            <w:pPr>
              <w:rPr>
                <w:rFonts w:cstheme="minorHAnsi"/>
                <w:sz w:val="18"/>
                <w:szCs w:val="18"/>
              </w:rPr>
            </w:pPr>
            <w:r w:rsidRPr="00681FB4">
              <w:rPr>
                <w:rFonts w:cstheme="minorHAnsi"/>
                <w:sz w:val="18"/>
                <w:szCs w:val="18"/>
              </w:rPr>
              <w:t>Parameter / Remark</w:t>
            </w:r>
          </w:p>
        </w:tc>
      </w:tr>
      <w:tr w:rsidR="003C44C4" w:rsidRPr="00681FB4" w14:paraId="0D20585C" w14:textId="77777777" w:rsidTr="00B26CA9">
        <w:trPr>
          <w:trHeight w:val="340"/>
          <w:jc w:val="center"/>
        </w:trPr>
        <w:tc>
          <w:tcPr>
            <w:tcW w:w="562" w:type="dxa"/>
            <w:vAlign w:val="center"/>
          </w:tcPr>
          <w:p w14:paraId="7AABA3E7" w14:textId="77777777" w:rsidR="003C44C4" w:rsidRPr="00681FB4" w:rsidRDefault="003C44C4" w:rsidP="00B26CA9">
            <w:pPr>
              <w:jc w:val="center"/>
              <w:rPr>
                <w:rFonts w:cstheme="minorHAnsi"/>
                <w:sz w:val="18"/>
                <w:szCs w:val="18"/>
              </w:rPr>
            </w:pPr>
            <w:r>
              <w:rPr>
                <w:rFonts w:cstheme="minorHAnsi"/>
                <w:sz w:val="18"/>
                <w:szCs w:val="18"/>
              </w:rPr>
              <w:t>1</w:t>
            </w:r>
          </w:p>
        </w:tc>
        <w:tc>
          <w:tcPr>
            <w:tcW w:w="3544" w:type="dxa"/>
            <w:vAlign w:val="center"/>
          </w:tcPr>
          <w:p w14:paraId="25BBBFB1" w14:textId="77777777" w:rsidR="003C44C4" w:rsidRPr="00681FB4" w:rsidRDefault="003C44C4" w:rsidP="00B26CA9">
            <w:pPr>
              <w:rPr>
                <w:rFonts w:cstheme="minorHAnsi"/>
                <w:sz w:val="18"/>
                <w:szCs w:val="18"/>
              </w:rPr>
            </w:pPr>
            <w:r>
              <w:rPr>
                <w:rFonts w:cstheme="minorHAnsi"/>
                <w:sz w:val="18"/>
                <w:szCs w:val="18"/>
              </w:rPr>
              <w:t>Long-DRX + short-DRX</w:t>
            </w:r>
          </w:p>
        </w:tc>
        <w:tc>
          <w:tcPr>
            <w:tcW w:w="5387" w:type="dxa"/>
            <w:vAlign w:val="center"/>
          </w:tcPr>
          <w:p w14:paraId="2EB5BCFF" w14:textId="77777777" w:rsidR="003C44C4" w:rsidRPr="00681FB4" w:rsidRDefault="003C44C4" w:rsidP="00B26CA9">
            <w:pPr>
              <w:rPr>
                <w:rFonts w:cstheme="minorHAnsi"/>
                <w:sz w:val="18"/>
                <w:szCs w:val="18"/>
              </w:rPr>
            </w:pPr>
            <w:r w:rsidRPr="00122C41">
              <w:rPr>
                <w:rFonts w:cstheme="minorHAnsi"/>
                <w:sz w:val="18"/>
                <w:szCs w:val="18"/>
              </w:rPr>
              <w:t>Long-DRX [160ms; 8ms]; Short-DRX [20ms; 4 times; 8ms]; IAT [20ms]</w:t>
            </w:r>
          </w:p>
        </w:tc>
      </w:tr>
      <w:tr w:rsidR="003C44C4" w:rsidRPr="00681FB4" w14:paraId="10C342A5" w14:textId="77777777" w:rsidTr="00B26CA9">
        <w:trPr>
          <w:trHeight w:val="340"/>
          <w:jc w:val="center"/>
        </w:trPr>
        <w:tc>
          <w:tcPr>
            <w:tcW w:w="562" w:type="dxa"/>
            <w:vAlign w:val="center"/>
          </w:tcPr>
          <w:p w14:paraId="2CEA6D1B" w14:textId="77777777" w:rsidR="003C44C4" w:rsidRDefault="003C44C4" w:rsidP="00B26CA9">
            <w:pPr>
              <w:jc w:val="center"/>
              <w:rPr>
                <w:rFonts w:cstheme="minorHAnsi"/>
                <w:sz w:val="18"/>
                <w:szCs w:val="18"/>
              </w:rPr>
            </w:pPr>
            <w:r>
              <w:rPr>
                <w:rFonts w:cstheme="minorHAnsi"/>
                <w:sz w:val="18"/>
                <w:szCs w:val="18"/>
              </w:rPr>
              <w:t>2</w:t>
            </w:r>
          </w:p>
        </w:tc>
        <w:tc>
          <w:tcPr>
            <w:tcW w:w="3544" w:type="dxa"/>
            <w:vAlign w:val="center"/>
          </w:tcPr>
          <w:p w14:paraId="38687AAD" w14:textId="77777777" w:rsidR="003C44C4" w:rsidRDefault="003C44C4" w:rsidP="00B26CA9">
            <w:pPr>
              <w:rPr>
                <w:rFonts w:cstheme="minorHAnsi"/>
                <w:sz w:val="18"/>
                <w:szCs w:val="18"/>
              </w:rPr>
            </w:pPr>
            <w:r>
              <w:rPr>
                <w:rFonts w:cstheme="minorHAnsi"/>
                <w:sz w:val="18"/>
                <w:szCs w:val="18"/>
              </w:rPr>
              <w:t>Long-DRX + short-DRX + SS-switching</w:t>
            </w:r>
          </w:p>
        </w:tc>
        <w:tc>
          <w:tcPr>
            <w:tcW w:w="5387" w:type="dxa"/>
            <w:vAlign w:val="center"/>
          </w:tcPr>
          <w:p w14:paraId="1B371ED5" w14:textId="77777777" w:rsidR="003C44C4" w:rsidRDefault="003C44C4" w:rsidP="00B26CA9">
            <w:pPr>
              <w:rPr>
                <w:rFonts w:cstheme="minorHAnsi"/>
                <w:sz w:val="18"/>
                <w:szCs w:val="18"/>
              </w:rPr>
            </w:pPr>
            <w:r w:rsidRPr="00681FB4">
              <w:rPr>
                <w:rFonts w:cstheme="minorHAnsi"/>
                <w:sz w:val="18"/>
                <w:szCs w:val="18"/>
              </w:rPr>
              <w:t>Long-DRX [160ms; 8ms]; Short-DRX [20ms; 4 times; 8ms]; IAT [20ms]</w:t>
            </w:r>
            <w:r>
              <w:rPr>
                <w:rFonts w:cstheme="minorHAnsi"/>
                <w:sz w:val="18"/>
                <w:szCs w:val="18"/>
              </w:rPr>
              <w:t>;</w:t>
            </w:r>
          </w:p>
          <w:p w14:paraId="2CA69F02" w14:textId="77777777" w:rsidR="003C44C4" w:rsidRDefault="003C44C4" w:rsidP="00B26CA9">
            <w:pPr>
              <w:rPr>
                <w:rFonts w:cstheme="minorHAnsi"/>
                <w:sz w:val="18"/>
                <w:szCs w:val="18"/>
              </w:rPr>
            </w:pPr>
            <w:r>
              <w:rPr>
                <w:rFonts w:cstheme="minorHAnsi"/>
                <w:sz w:val="18"/>
                <w:szCs w:val="18"/>
              </w:rPr>
              <w:t>Once the UE receive PDSCH, the UE monitors PDCCH in every slot.</w:t>
            </w:r>
          </w:p>
          <w:p w14:paraId="0F2ECA19" w14:textId="77777777" w:rsidR="003C44C4" w:rsidRDefault="003C44C4" w:rsidP="00B26CA9">
            <w:pPr>
              <w:rPr>
                <w:rFonts w:cstheme="minorHAnsi"/>
                <w:sz w:val="18"/>
                <w:szCs w:val="18"/>
              </w:rPr>
            </w:pPr>
            <w:r>
              <w:rPr>
                <w:rFonts w:cstheme="minorHAnsi"/>
                <w:sz w:val="18"/>
                <w:szCs w:val="18"/>
              </w:rPr>
              <w:t>If there is no PDSCH for 4ms, the UE monitors PDCCH with sparse SS, i.e., using a duration of 2ms within 8ms periodicity</w:t>
            </w:r>
          </w:p>
          <w:p w14:paraId="110BE7AB" w14:textId="77777777" w:rsidR="003C44C4" w:rsidRPr="00681FB4" w:rsidRDefault="003C44C4" w:rsidP="00B26CA9">
            <w:pPr>
              <w:rPr>
                <w:rFonts w:cstheme="minorHAnsi"/>
                <w:sz w:val="18"/>
                <w:szCs w:val="18"/>
              </w:rPr>
            </w:pPr>
            <w:r>
              <w:rPr>
                <w:rFonts w:cstheme="minorHAnsi"/>
                <w:sz w:val="18"/>
                <w:szCs w:val="18"/>
              </w:rPr>
              <w:t>The sparse SS is only used during the IAT.</w:t>
            </w:r>
          </w:p>
        </w:tc>
      </w:tr>
      <w:tr w:rsidR="003C44C4" w:rsidRPr="00681FB4" w14:paraId="6EA56198" w14:textId="77777777" w:rsidTr="00B26CA9">
        <w:trPr>
          <w:trHeight w:val="340"/>
          <w:jc w:val="center"/>
        </w:trPr>
        <w:tc>
          <w:tcPr>
            <w:tcW w:w="562" w:type="dxa"/>
            <w:vAlign w:val="center"/>
          </w:tcPr>
          <w:p w14:paraId="2DE07E46" w14:textId="77777777" w:rsidR="003C44C4" w:rsidRDefault="003C44C4" w:rsidP="00B26CA9">
            <w:pPr>
              <w:jc w:val="center"/>
              <w:rPr>
                <w:rFonts w:cstheme="minorHAnsi"/>
                <w:sz w:val="18"/>
                <w:szCs w:val="18"/>
              </w:rPr>
            </w:pPr>
            <w:r>
              <w:rPr>
                <w:rFonts w:cstheme="minorHAnsi"/>
                <w:sz w:val="18"/>
                <w:szCs w:val="18"/>
              </w:rPr>
              <w:t>3</w:t>
            </w:r>
          </w:p>
        </w:tc>
        <w:tc>
          <w:tcPr>
            <w:tcW w:w="3544" w:type="dxa"/>
            <w:vAlign w:val="center"/>
          </w:tcPr>
          <w:p w14:paraId="1858FE1A" w14:textId="77777777" w:rsidR="003C44C4" w:rsidRDefault="003C44C4" w:rsidP="00B26CA9">
            <w:pPr>
              <w:rPr>
                <w:rFonts w:cstheme="minorHAnsi"/>
                <w:sz w:val="18"/>
                <w:szCs w:val="18"/>
              </w:rPr>
            </w:pPr>
            <w:r>
              <w:rPr>
                <w:rFonts w:cstheme="minorHAnsi"/>
                <w:sz w:val="18"/>
                <w:szCs w:val="18"/>
              </w:rPr>
              <w:t>Long-DRX + short-DRX + PDCCH-skipping</w:t>
            </w:r>
          </w:p>
        </w:tc>
        <w:tc>
          <w:tcPr>
            <w:tcW w:w="5387" w:type="dxa"/>
            <w:vAlign w:val="center"/>
          </w:tcPr>
          <w:p w14:paraId="2918E78A" w14:textId="77777777" w:rsidR="003C44C4" w:rsidRDefault="003C44C4" w:rsidP="00B26CA9">
            <w:pPr>
              <w:rPr>
                <w:rFonts w:cstheme="minorHAnsi"/>
                <w:sz w:val="18"/>
                <w:szCs w:val="18"/>
              </w:rPr>
            </w:pPr>
            <w:r w:rsidRPr="00681FB4">
              <w:rPr>
                <w:rFonts w:cstheme="minorHAnsi"/>
                <w:sz w:val="18"/>
                <w:szCs w:val="18"/>
              </w:rPr>
              <w:t>Long-DRX [160ms; 8ms]; Short-DRX [20ms; 4 times; 8ms]; IAT [20ms]</w:t>
            </w:r>
            <w:r>
              <w:rPr>
                <w:rFonts w:cstheme="minorHAnsi"/>
                <w:sz w:val="18"/>
                <w:szCs w:val="18"/>
              </w:rPr>
              <w:t>; If there is no data in the buffer for 4ms, the NW sends PDCCH-skipping command to the UE.</w:t>
            </w:r>
          </w:p>
          <w:p w14:paraId="3B776689" w14:textId="77777777" w:rsidR="003C44C4" w:rsidRPr="00681FB4" w:rsidRDefault="003C44C4" w:rsidP="00B26CA9">
            <w:pPr>
              <w:rPr>
                <w:rFonts w:cstheme="minorHAnsi"/>
                <w:sz w:val="18"/>
                <w:szCs w:val="18"/>
              </w:rPr>
            </w:pPr>
            <w:r>
              <w:rPr>
                <w:rFonts w:cstheme="minorHAnsi"/>
                <w:sz w:val="18"/>
                <w:szCs w:val="18"/>
              </w:rPr>
              <w:t>The skipping duration can be 8ms or 12ms.</w:t>
            </w:r>
          </w:p>
        </w:tc>
      </w:tr>
    </w:tbl>
    <w:p w14:paraId="599DFD87" w14:textId="77777777" w:rsidR="003C44C4" w:rsidRDefault="003C44C4" w:rsidP="003C44C4">
      <w:pPr>
        <w:rPr>
          <w:lang w:eastAsia="ja-JP"/>
        </w:rPr>
      </w:pPr>
    </w:p>
    <w:p w14:paraId="1D1400E2" w14:textId="77777777" w:rsidR="003C44C4" w:rsidRDefault="003C44C4" w:rsidP="003C44C4">
      <w:pPr>
        <w:rPr>
          <w:lang w:eastAsia="ja-JP"/>
        </w:rPr>
      </w:pPr>
      <w:r>
        <w:rPr>
          <w:lang w:eastAsia="ja-JP"/>
        </w:rPr>
        <w:t>The simulation results can be seen in the following table:</w:t>
      </w:r>
    </w:p>
    <w:p w14:paraId="2372939A" w14:textId="77777777" w:rsidR="003C44C4" w:rsidRDefault="003C44C4" w:rsidP="003C44C4">
      <w:pPr>
        <w:jc w:val="center"/>
        <w:rPr>
          <w:rFonts w:cs="Arial"/>
          <w:lang w:eastAsia="ja-JP"/>
        </w:rPr>
      </w:pPr>
      <w:r>
        <w:rPr>
          <w:rFonts w:cs="Arial"/>
          <w:b/>
          <w:bCs/>
          <w:lang w:eastAsia="ja-JP"/>
        </w:rPr>
        <w:t xml:space="preserve">Table 4. </w:t>
      </w:r>
      <w:r>
        <w:rPr>
          <w:rFonts w:cs="Arial"/>
          <w:lang w:eastAsia="ja-JP"/>
        </w:rPr>
        <w:t>Power consumption and UPT performance for various power-saving scenarios</w:t>
      </w:r>
    </w:p>
    <w:tbl>
      <w:tblPr>
        <w:tblStyle w:val="TableGrid"/>
        <w:tblW w:w="7351" w:type="dxa"/>
        <w:jc w:val="center"/>
        <w:tblLook w:val="04A0" w:firstRow="1" w:lastRow="0" w:firstColumn="1" w:lastColumn="0" w:noHBand="0" w:noVBand="1"/>
      </w:tblPr>
      <w:tblGrid>
        <w:gridCol w:w="3723"/>
        <w:gridCol w:w="907"/>
        <w:gridCol w:w="907"/>
        <w:gridCol w:w="907"/>
        <w:gridCol w:w="907"/>
      </w:tblGrid>
      <w:tr w:rsidR="003C44C4" w:rsidRPr="00483509" w14:paraId="7E2D6F0A" w14:textId="77777777" w:rsidTr="00B26CA9">
        <w:trPr>
          <w:jc w:val="center"/>
        </w:trPr>
        <w:tc>
          <w:tcPr>
            <w:tcW w:w="3723" w:type="dxa"/>
            <w:shd w:val="clear" w:color="auto" w:fill="D9E2F3" w:themeFill="accent1" w:themeFillTint="33"/>
            <w:vAlign w:val="center"/>
          </w:tcPr>
          <w:p w14:paraId="7D9548F1" w14:textId="77777777" w:rsidR="003C44C4" w:rsidRPr="00483509" w:rsidRDefault="003C44C4" w:rsidP="00B26CA9">
            <w:pPr>
              <w:jc w:val="center"/>
              <w:rPr>
                <w:sz w:val="18"/>
                <w:szCs w:val="20"/>
              </w:rPr>
            </w:pPr>
            <w:r w:rsidRPr="00483509">
              <w:rPr>
                <w:sz w:val="18"/>
                <w:szCs w:val="20"/>
              </w:rPr>
              <w:lastRenderedPageBreak/>
              <w:t>Methods</w:t>
            </w:r>
          </w:p>
        </w:tc>
        <w:tc>
          <w:tcPr>
            <w:tcW w:w="907" w:type="dxa"/>
            <w:shd w:val="clear" w:color="auto" w:fill="D9E2F3" w:themeFill="accent1" w:themeFillTint="33"/>
            <w:vAlign w:val="center"/>
          </w:tcPr>
          <w:p w14:paraId="631C491F" w14:textId="77777777" w:rsidR="003C44C4" w:rsidRPr="00483509" w:rsidRDefault="003C44C4" w:rsidP="00B26CA9">
            <w:pPr>
              <w:jc w:val="center"/>
              <w:rPr>
                <w:sz w:val="18"/>
                <w:szCs w:val="20"/>
              </w:rPr>
            </w:pPr>
            <w:r w:rsidRPr="00483509">
              <w:rPr>
                <w:sz w:val="18"/>
                <w:szCs w:val="20"/>
              </w:rPr>
              <w:t>UPT (Mbps)</w:t>
            </w:r>
          </w:p>
        </w:tc>
        <w:tc>
          <w:tcPr>
            <w:tcW w:w="907" w:type="dxa"/>
            <w:shd w:val="clear" w:color="auto" w:fill="D9E2F3" w:themeFill="accent1" w:themeFillTint="33"/>
            <w:vAlign w:val="center"/>
          </w:tcPr>
          <w:p w14:paraId="4F2E28F7" w14:textId="77777777" w:rsidR="003C44C4" w:rsidRPr="00483509" w:rsidRDefault="003C44C4" w:rsidP="00B26CA9">
            <w:pPr>
              <w:jc w:val="center"/>
              <w:rPr>
                <w:sz w:val="18"/>
                <w:szCs w:val="20"/>
              </w:rPr>
            </w:pPr>
            <w:r w:rsidRPr="00483509">
              <w:rPr>
                <w:sz w:val="18"/>
                <w:szCs w:val="20"/>
              </w:rPr>
              <w:t>UPT Loss</w:t>
            </w:r>
          </w:p>
          <w:p w14:paraId="38E66B7D" w14:textId="77777777" w:rsidR="003C44C4" w:rsidRPr="00483509" w:rsidRDefault="003C44C4" w:rsidP="00B26CA9">
            <w:pPr>
              <w:jc w:val="center"/>
              <w:rPr>
                <w:sz w:val="18"/>
                <w:szCs w:val="20"/>
              </w:rPr>
            </w:pPr>
            <w:r w:rsidRPr="00483509">
              <w:rPr>
                <w:sz w:val="18"/>
                <w:szCs w:val="20"/>
              </w:rPr>
              <w:t>(%)</w:t>
            </w:r>
          </w:p>
        </w:tc>
        <w:tc>
          <w:tcPr>
            <w:tcW w:w="907" w:type="dxa"/>
            <w:shd w:val="clear" w:color="auto" w:fill="D9E2F3" w:themeFill="accent1" w:themeFillTint="33"/>
            <w:vAlign w:val="center"/>
          </w:tcPr>
          <w:p w14:paraId="7AB6797E" w14:textId="77777777" w:rsidR="003C44C4" w:rsidRPr="00483509" w:rsidRDefault="003C44C4" w:rsidP="00B26CA9">
            <w:pPr>
              <w:jc w:val="center"/>
              <w:rPr>
                <w:sz w:val="18"/>
                <w:szCs w:val="20"/>
              </w:rPr>
            </w:pPr>
            <w:r w:rsidRPr="00483509">
              <w:rPr>
                <w:sz w:val="18"/>
                <w:szCs w:val="20"/>
              </w:rPr>
              <w:t>Power</w:t>
            </w:r>
            <w:r>
              <w:rPr>
                <w:sz w:val="18"/>
                <w:szCs w:val="20"/>
              </w:rPr>
              <w:t xml:space="preserve">  (Relative Units)</w:t>
            </w:r>
          </w:p>
        </w:tc>
        <w:tc>
          <w:tcPr>
            <w:tcW w:w="907" w:type="dxa"/>
            <w:shd w:val="clear" w:color="auto" w:fill="D9E2F3" w:themeFill="accent1" w:themeFillTint="33"/>
            <w:vAlign w:val="center"/>
          </w:tcPr>
          <w:p w14:paraId="455FC3DE" w14:textId="77777777" w:rsidR="003C44C4" w:rsidRPr="00483509" w:rsidRDefault="003C44C4" w:rsidP="00B26CA9">
            <w:pPr>
              <w:jc w:val="center"/>
              <w:rPr>
                <w:sz w:val="18"/>
                <w:szCs w:val="20"/>
              </w:rPr>
            </w:pPr>
            <w:r w:rsidRPr="00483509">
              <w:rPr>
                <w:sz w:val="18"/>
                <w:szCs w:val="20"/>
              </w:rPr>
              <w:t>Power saving</w:t>
            </w:r>
          </w:p>
          <w:p w14:paraId="05EA0779" w14:textId="77777777" w:rsidR="003C44C4" w:rsidRPr="00483509" w:rsidRDefault="003C44C4" w:rsidP="00B26CA9">
            <w:pPr>
              <w:jc w:val="center"/>
              <w:rPr>
                <w:sz w:val="18"/>
                <w:szCs w:val="20"/>
              </w:rPr>
            </w:pPr>
            <w:r w:rsidRPr="00483509">
              <w:rPr>
                <w:sz w:val="18"/>
                <w:szCs w:val="20"/>
              </w:rPr>
              <w:t>(%)</w:t>
            </w:r>
          </w:p>
        </w:tc>
      </w:tr>
      <w:tr w:rsidR="003C44C4" w:rsidRPr="00483509" w14:paraId="31B8B872" w14:textId="77777777" w:rsidTr="00B26CA9">
        <w:trPr>
          <w:trHeight w:val="340"/>
          <w:jc w:val="center"/>
        </w:trPr>
        <w:tc>
          <w:tcPr>
            <w:tcW w:w="3723" w:type="dxa"/>
            <w:vAlign w:val="center"/>
          </w:tcPr>
          <w:p w14:paraId="3009DAC7" w14:textId="77777777" w:rsidR="003C44C4" w:rsidRPr="00483509" w:rsidRDefault="003C44C4" w:rsidP="00B26CA9">
            <w:pPr>
              <w:rPr>
                <w:sz w:val="18"/>
                <w:szCs w:val="20"/>
              </w:rPr>
            </w:pPr>
            <w:r>
              <w:rPr>
                <w:rFonts w:cstheme="minorHAnsi"/>
                <w:sz w:val="18"/>
                <w:szCs w:val="18"/>
              </w:rPr>
              <w:t>Long-DRX + short-DRX</w:t>
            </w:r>
          </w:p>
        </w:tc>
        <w:tc>
          <w:tcPr>
            <w:tcW w:w="907" w:type="dxa"/>
            <w:vAlign w:val="center"/>
          </w:tcPr>
          <w:p w14:paraId="051ADFC9" w14:textId="77777777" w:rsidR="003C44C4" w:rsidRPr="00483509" w:rsidRDefault="003C44C4" w:rsidP="00B26CA9">
            <w:pPr>
              <w:jc w:val="right"/>
              <w:rPr>
                <w:color w:val="000000" w:themeColor="text1"/>
                <w:sz w:val="18"/>
                <w:szCs w:val="20"/>
              </w:rPr>
            </w:pPr>
            <w:r>
              <w:rPr>
                <w:rFonts w:cstheme="minorHAnsi"/>
                <w:sz w:val="18"/>
                <w:szCs w:val="18"/>
              </w:rPr>
              <w:t>34.70</w:t>
            </w:r>
          </w:p>
        </w:tc>
        <w:tc>
          <w:tcPr>
            <w:tcW w:w="907" w:type="dxa"/>
            <w:shd w:val="clear" w:color="auto" w:fill="D0CECE" w:themeFill="background2" w:themeFillShade="E6"/>
            <w:vAlign w:val="center"/>
          </w:tcPr>
          <w:p w14:paraId="7307CD2D" w14:textId="77777777" w:rsidR="003C44C4" w:rsidRPr="00483509" w:rsidRDefault="003C44C4" w:rsidP="00B26CA9">
            <w:pPr>
              <w:jc w:val="right"/>
              <w:rPr>
                <w:color w:val="000000" w:themeColor="text1"/>
                <w:sz w:val="18"/>
                <w:szCs w:val="20"/>
              </w:rPr>
            </w:pPr>
          </w:p>
        </w:tc>
        <w:tc>
          <w:tcPr>
            <w:tcW w:w="907" w:type="dxa"/>
            <w:vAlign w:val="center"/>
          </w:tcPr>
          <w:p w14:paraId="0D57292B" w14:textId="77777777" w:rsidR="003C44C4" w:rsidRPr="00483509" w:rsidRDefault="003C44C4" w:rsidP="00B26CA9">
            <w:pPr>
              <w:jc w:val="right"/>
              <w:rPr>
                <w:color w:val="000000" w:themeColor="text1"/>
                <w:sz w:val="18"/>
                <w:szCs w:val="20"/>
              </w:rPr>
            </w:pPr>
            <w:r>
              <w:rPr>
                <w:rFonts w:cstheme="minorHAnsi"/>
                <w:sz w:val="18"/>
                <w:szCs w:val="18"/>
              </w:rPr>
              <w:t>32.88</w:t>
            </w:r>
          </w:p>
        </w:tc>
        <w:tc>
          <w:tcPr>
            <w:tcW w:w="907" w:type="dxa"/>
            <w:shd w:val="clear" w:color="auto" w:fill="D0CECE" w:themeFill="background2" w:themeFillShade="E6"/>
            <w:vAlign w:val="center"/>
          </w:tcPr>
          <w:p w14:paraId="63D306CC" w14:textId="77777777" w:rsidR="003C44C4" w:rsidRPr="00483509" w:rsidRDefault="003C44C4" w:rsidP="00B26CA9">
            <w:pPr>
              <w:jc w:val="right"/>
              <w:rPr>
                <w:color w:val="000000" w:themeColor="text1"/>
                <w:sz w:val="18"/>
                <w:szCs w:val="20"/>
              </w:rPr>
            </w:pPr>
          </w:p>
        </w:tc>
      </w:tr>
      <w:tr w:rsidR="003C44C4" w:rsidRPr="00483509" w14:paraId="512BFFD7" w14:textId="77777777" w:rsidTr="00B26CA9">
        <w:trPr>
          <w:trHeight w:val="340"/>
          <w:jc w:val="center"/>
        </w:trPr>
        <w:tc>
          <w:tcPr>
            <w:tcW w:w="3723" w:type="dxa"/>
            <w:vAlign w:val="center"/>
          </w:tcPr>
          <w:p w14:paraId="1688BC51" w14:textId="77777777" w:rsidR="003C44C4" w:rsidRPr="00483509" w:rsidRDefault="003C44C4" w:rsidP="00B26CA9">
            <w:pPr>
              <w:rPr>
                <w:sz w:val="18"/>
                <w:szCs w:val="20"/>
              </w:rPr>
            </w:pPr>
            <w:r>
              <w:rPr>
                <w:rFonts w:cstheme="minorHAnsi"/>
                <w:sz w:val="18"/>
                <w:szCs w:val="18"/>
              </w:rPr>
              <w:t>Long-DRX + short-DRX + SS-switching</w:t>
            </w:r>
          </w:p>
        </w:tc>
        <w:tc>
          <w:tcPr>
            <w:tcW w:w="907" w:type="dxa"/>
            <w:vAlign w:val="center"/>
          </w:tcPr>
          <w:p w14:paraId="16AD2D2B" w14:textId="77777777" w:rsidR="003C44C4" w:rsidRPr="00483509" w:rsidRDefault="003C44C4" w:rsidP="00B26CA9">
            <w:pPr>
              <w:jc w:val="right"/>
              <w:rPr>
                <w:sz w:val="18"/>
                <w:szCs w:val="20"/>
              </w:rPr>
            </w:pPr>
            <w:r>
              <w:rPr>
                <w:sz w:val="18"/>
                <w:szCs w:val="20"/>
              </w:rPr>
              <w:t>32.57</w:t>
            </w:r>
          </w:p>
        </w:tc>
        <w:tc>
          <w:tcPr>
            <w:tcW w:w="907" w:type="dxa"/>
            <w:vAlign w:val="center"/>
          </w:tcPr>
          <w:p w14:paraId="0CAA97E0" w14:textId="77777777" w:rsidR="003C44C4" w:rsidRPr="00483509" w:rsidRDefault="003C44C4" w:rsidP="00B26CA9">
            <w:pPr>
              <w:jc w:val="right"/>
              <w:rPr>
                <w:sz w:val="18"/>
                <w:szCs w:val="20"/>
              </w:rPr>
            </w:pPr>
            <w:r>
              <w:rPr>
                <w:sz w:val="18"/>
                <w:szCs w:val="20"/>
              </w:rPr>
              <w:t>6.1%</w:t>
            </w:r>
          </w:p>
        </w:tc>
        <w:tc>
          <w:tcPr>
            <w:tcW w:w="907" w:type="dxa"/>
            <w:vAlign w:val="center"/>
          </w:tcPr>
          <w:p w14:paraId="07912A45" w14:textId="77777777" w:rsidR="003C44C4" w:rsidRPr="00483509" w:rsidRDefault="003C44C4" w:rsidP="00B26CA9">
            <w:pPr>
              <w:jc w:val="right"/>
              <w:rPr>
                <w:sz w:val="18"/>
                <w:szCs w:val="20"/>
              </w:rPr>
            </w:pPr>
            <w:r>
              <w:rPr>
                <w:sz w:val="18"/>
                <w:szCs w:val="20"/>
              </w:rPr>
              <w:t>31.66</w:t>
            </w:r>
          </w:p>
        </w:tc>
        <w:tc>
          <w:tcPr>
            <w:tcW w:w="907" w:type="dxa"/>
            <w:vAlign w:val="center"/>
          </w:tcPr>
          <w:p w14:paraId="670F4DE4" w14:textId="77777777" w:rsidR="003C44C4" w:rsidRPr="00483509" w:rsidRDefault="003C44C4" w:rsidP="00B26CA9">
            <w:pPr>
              <w:jc w:val="right"/>
              <w:rPr>
                <w:sz w:val="18"/>
                <w:szCs w:val="20"/>
              </w:rPr>
            </w:pPr>
            <w:r>
              <w:rPr>
                <w:sz w:val="18"/>
                <w:szCs w:val="20"/>
              </w:rPr>
              <w:t>3.7%</w:t>
            </w:r>
          </w:p>
        </w:tc>
      </w:tr>
      <w:tr w:rsidR="003C44C4" w:rsidRPr="00483509" w14:paraId="566A827F" w14:textId="77777777" w:rsidTr="00B26CA9">
        <w:trPr>
          <w:trHeight w:val="340"/>
          <w:jc w:val="center"/>
        </w:trPr>
        <w:tc>
          <w:tcPr>
            <w:tcW w:w="3723" w:type="dxa"/>
            <w:vAlign w:val="center"/>
          </w:tcPr>
          <w:p w14:paraId="2002B70B" w14:textId="77777777" w:rsidR="003C44C4" w:rsidRDefault="003C44C4" w:rsidP="00B26CA9">
            <w:pPr>
              <w:rPr>
                <w:rFonts w:cstheme="minorHAnsi"/>
                <w:sz w:val="18"/>
                <w:szCs w:val="18"/>
              </w:rPr>
            </w:pPr>
            <w:r>
              <w:rPr>
                <w:rFonts w:cstheme="minorHAnsi"/>
                <w:sz w:val="18"/>
                <w:szCs w:val="18"/>
              </w:rPr>
              <w:t>Long-DRX + short-DRX + PDCCH-skipping [8ms]</w:t>
            </w:r>
          </w:p>
        </w:tc>
        <w:tc>
          <w:tcPr>
            <w:tcW w:w="907" w:type="dxa"/>
            <w:vAlign w:val="center"/>
          </w:tcPr>
          <w:p w14:paraId="2334F5F8" w14:textId="77777777" w:rsidR="003C44C4" w:rsidRDefault="003C44C4" w:rsidP="00B26CA9">
            <w:pPr>
              <w:jc w:val="right"/>
              <w:rPr>
                <w:sz w:val="18"/>
                <w:szCs w:val="20"/>
              </w:rPr>
            </w:pPr>
            <w:r>
              <w:rPr>
                <w:rFonts w:cstheme="minorHAnsi"/>
                <w:sz w:val="18"/>
                <w:szCs w:val="18"/>
              </w:rPr>
              <w:t>32.38</w:t>
            </w:r>
          </w:p>
        </w:tc>
        <w:tc>
          <w:tcPr>
            <w:tcW w:w="907" w:type="dxa"/>
            <w:vAlign w:val="center"/>
          </w:tcPr>
          <w:p w14:paraId="41CCDDD2" w14:textId="77777777" w:rsidR="003C44C4" w:rsidRDefault="003C44C4" w:rsidP="00B26CA9">
            <w:pPr>
              <w:jc w:val="right"/>
              <w:rPr>
                <w:sz w:val="18"/>
                <w:szCs w:val="20"/>
              </w:rPr>
            </w:pPr>
            <w:r>
              <w:rPr>
                <w:sz w:val="18"/>
                <w:szCs w:val="20"/>
              </w:rPr>
              <w:t>6.7%</w:t>
            </w:r>
          </w:p>
        </w:tc>
        <w:tc>
          <w:tcPr>
            <w:tcW w:w="907" w:type="dxa"/>
            <w:vAlign w:val="center"/>
          </w:tcPr>
          <w:p w14:paraId="6B669A00" w14:textId="77777777" w:rsidR="003C44C4" w:rsidRDefault="003C44C4" w:rsidP="00B26CA9">
            <w:pPr>
              <w:jc w:val="right"/>
              <w:rPr>
                <w:sz w:val="18"/>
                <w:szCs w:val="20"/>
              </w:rPr>
            </w:pPr>
            <w:r>
              <w:rPr>
                <w:rFonts w:cstheme="minorHAnsi"/>
                <w:sz w:val="18"/>
                <w:szCs w:val="18"/>
              </w:rPr>
              <w:t>31.71</w:t>
            </w:r>
          </w:p>
        </w:tc>
        <w:tc>
          <w:tcPr>
            <w:tcW w:w="907" w:type="dxa"/>
            <w:vAlign w:val="center"/>
          </w:tcPr>
          <w:p w14:paraId="5A2EF499" w14:textId="77777777" w:rsidR="003C44C4" w:rsidRDefault="003C44C4" w:rsidP="00B26CA9">
            <w:pPr>
              <w:jc w:val="right"/>
              <w:rPr>
                <w:sz w:val="18"/>
                <w:szCs w:val="20"/>
              </w:rPr>
            </w:pPr>
            <w:r>
              <w:rPr>
                <w:sz w:val="18"/>
                <w:szCs w:val="20"/>
              </w:rPr>
              <w:t>3.6%</w:t>
            </w:r>
          </w:p>
        </w:tc>
      </w:tr>
      <w:tr w:rsidR="003C44C4" w:rsidRPr="00483509" w14:paraId="0792755E" w14:textId="77777777" w:rsidTr="00B26CA9">
        <w:trPr>
          <w:trHeight w:val="340"/>
          <w:jc w:val="center"/>
        </w:trPr>
        <w:tc>
          <w:tcPr>
            <w:tcW w:w="3723" w:type="dxa"/>
            <w:vAlign w:val="center"/>
          </w:tcPr>
          <w:p w14:paraId="4F1D3813" w14:textId="77777777" w:rsidR="003C44C4" w:rsidRDefault="003C44C4" w:rsidP="00B26CA9">
            <w:pPr>
              <w:rPr>
                <w:rFonts w:cstheme="minorHAnsi"/>
                <w:sz w:val="18"/>
                <w:szCs w:val="18"/>
              </w:rPr>
            </w:pPr>
            <w:r>
              <w:rPr>
                <w:rFonts w:cstheme="minorHAnsi"/>
                <w:sz w:val="18"/>
                <w:szCs w:val="18"/>
              </w:rPr>
              <w:t>Long-DRX + short-DRX + PDCCH-skipping [12ms]</w:t>
            </w:r>
          </w:p>
        </w:tc>
        <w:tc>
          <w:tcPr>
            <w:tcW w:w="907" w:type="dxa"/>
            <w:vAlign w:val="center"/>
          </w:tcPr>
          <w:p w14:paraId="2EFD06FF" w14:textId="77777777" w:rsidR="003C44C4" w:rsidRDefault="003C44C4" w:rsidP="00B26CA9">
            <w:pPr>
              <w:jc w:val="right"/>
              <w:rPr>
                <w:sz w:val="18"/>
                <w:szCs w:val="20"/>
              </w:rPr>
            </w:pPr>
            <w:r>
              <w:rPr>
                <w:rFonts w:cstheme="minorHAnsi"/>
                <w:sz w:val="18"/>
                <w:szCs w:val="18"/>
              </w:rPr>
              <w:t>31.96</w:t>
            </w:r>
          </w:p>
        </w:tc>
        <w:tc>
          <w:tcPr>
            <w:tcW w:w="907" w:type="dxa"/>
            <w:vAlign w:val="center"/>
          </w:tcPr>
          <w:p w14:paraId="3C02332A" w14:textId="77777777" w:rsidR="003C44C4" w:rsidRDefault="003C44C4" w:rsidP="00B26CA9">
            <w:pPr>
              <w:jc w:val="right"/>
              <w:rPr>
                <w:sz w:val="18"/>
                <w:szCs w:val="20"/>
              </w:rPr>
            </w:pPr>
            <w:r>
              <w:rPr>
                <w:sz w:val="18"/>
                <w:szCs w:val="20"/>
              </w:rPr>
              <w:t>7.9%</w:t>
            </w:r>
          </w:p>
        </w:tc>
        <w:tc>
          <w:tcPr>
            <w:tcW w:w="907" w:type="dxa"/>
            <w:vAlign w:val="center"/>
          </w:tcPr>
          <w:p w14:paraId="3B719385" w14:textId="77777777" w:rsidR="003C44C4" w:rsidRDefault="003C44C4" w:rsidP="00B26CA9">
            <w:pPr>
              <w:jc w:val="right"/>
              <w:rPr>
                <w:sz w:val="18"/>
                <w:szCs w:val="20"/>
              </w:rPr>
            </w:pPr>
            <w:r>
              <w:rPr>
                <w:rFonts w:cstheme="minorHAnsi"/>
                <w:sz w:val="18"/>
                <w:szCs w:val="18"/>
              </w:rPr>
              <w:t>31.40</w:t>
            </w:r>
          </w:p>
        </w:tc>
        <w:tc>
          <w:tcPr>
            <w:tcW w:w="907" w:type="dxa"/>
            <w:vAlign w:val="center"/>
          </w:tcPr>
          <w:p w14:paraId="0F35372D" w14:textId="77777777" w:rsidR="003C44C4" w:rsidRDefault="003C44C4" w:rsidP="00B26CA9">
            <w:pPr>
              <w:jc w:val="right"/>
              <w:rPr>
                <w:sz w:val="18"/>
                <w:szCs w:val="20"/>
              </w:rPr>
            </w:pPr>
            <w:r>
              <w:rPr>
                <w:sz w:val="18"/>
                <w:szCs w:val="20"/>
              </w:rPr>
              <w:t>4.5%</w:t>
            </w:r>
          </w:p>
        </w:tc>
      </w:tr>
    </w:tbl>
    <w:p w14:paraId="18AD5D95" w14:textId="77777777" w:rsidR="003C44C4" w:rsidRDefault="003C44C4" w:rsidP="003C44C4">
      <w:pPr>
        <w:rPr>
          <w:lang w:eastAsia="ja-JP"/>
        </w:rPr>
      </w:pPr>
    </w:p>
    <w:p w14:paraId="4DEBED14" w14:textId="77777777" w:rsidR="003C44C4" w:rsidRDefault="003C44C4" w:rsidP="003C44C4">
      <w:pPr>
        <w:rPr>
          <w:lang w:eastAsia="ja-JP"/>
        </w:rPr>
      </w:pPr>
      <w:r>
        <w:rPr>
          <w:lang w:eastAsia="ja-JP"/>
        </w:rPr>
        <w:t xml:space="preserve">From the above table, we can see that overall, both schemes do not provide significant incremental power savings gain over short-DRX. However, comparing the achievable small gains, a similar power-saving can be achieved between SS-switching and PDCCH-skipping with 8ms on-duration but from the UPT perspective, however, SS-switching performs slightly better. </w:t>
      </w:r>
    </w:p>
    <w:p w14:paraId="6EF2EAD6" w14:textId="77777777" w:rsidR="003C44C4" w:rsidRPr="007E14FB" w:rsidRDefault="003C44C4" w:rsidP="003C44C4">
      <w:pPr>
        <w:pStyle w:val="Observation"/>
        <w:jc w:val="left"/>
        <w:rPr>
          <w:rFonts w:asciiTheme="minorHAnsi" w:hAnsiTheme="minorHAnsi" w:cstheme="minorHAnsi"/>
        </w:rPr>
      </w:pPr>
      <w:bookmarkStart w:id="2" w:name="_Toc61890348"/>
      <w:r>
        <w:rPr>
          <w:rFonts w:asciiTheme="minorHAnsi" w:hAnsiTheme="minorHAnsi" w:cstheme="minorHAnsi"/>
        </w:rPr>
        <w:t xml:space="preserve">Search space set group switching provides </w:t>
      </w:r>
      <w:r w:rsidRPr="00AA5718">
        <w:rPr>
          <w:rFonts w:asciiTheme="minorHAnsi" w:hAnsiTheme="minorHAnsi" w:cstheme="minorHAnsi"/>
        </w:rPr>
        <w:t xml:space="preserve">better UPT-loss vs power-saving trade-off </w:t>
      </w:r>
      <w:r w:rsidRPr="007E14FB">
        <w:rPr>
          <w:rFonts w:asciiTheme="minorHAnsi" w:hAnsiTheme="minorHAnsi" w:cstheme="minorHAnsi"/>
        </w:rPr>
        <w:t xml:space="preserve">compared to PDCCH-skipping </w:t>
      </w:r>
      <w:r>
        <w:rPr>
          <w:rFonts w:asciiTheme="minorHAnsi" w:hAnsiTheme="minorHAnsi" w:cstheme="minorHAnsi"/>
        </w:rPr>
        <w:t xml:space="preserve">both when </w:t>
      </w:r>
      <w:r w:rsidRPr="007E14FB">
        <w:rPr>
          <w:rFonts w:asciiTheme="minorHAnsi" w:hAnsiTheme="minorHAnsi" w:cstheme="minorHAnsi"/>
        </w:rPr>
        <w:t xml:space="preserve">only long-DRX </w:t>
      </w:r>
      <w:r>
        <w:rPr>
          <w:rFonts w:asciiTheme="minorHAnsi" w:hAnsiTheme="minorHAnsi" w:cstheme="minorHAnsi"/>
        </w:rPr>
        <w:t xml:space="preserve">is configured for the UE and when long-DRX+ </w:t>
      </w:r>
      <w:r w:rsidRPr="007E14FB">
        <w:rPr>
          <w:rFonts w:asciiTheme="minorHAnsi" w:hAnsiTheme="minorHAnsi" w:cstheme="minorHAnsi"/>
        </w:rPr>
        <w:t>short-DRX are configured for the UE.</w:t>
      </w:r>
      <w:bookmarkEnd w:id="2"/>
      <w:r w:rsidRPr="007E14FB">
        <w:rPr>
          <w:rFonts w:asciiTheme="minorHAnsi" w:hAnsiTheme="minorHAnsi" w:cstheme="minorHAnsi"/>
        </w:rPr>
        <w:t xml:space="preserve"> </w:t>
      </w:r>
    </w:p>
    <w:p w14:paraId="7827F406" w14:textId="77777777" w:rsidR="003C44C4" w:rsidRPr="003105CB" w:rsidRDefault="003C44C4" w:rsidP="003C44C4">
      <w:pPr>
        <w:rPr>
          <w:lang w:eastAsia="ja-JP"/>
        </w:rPr>
      </w:pPr>
    </w:p>
    <w:p w14:paraId="2FC973C1" w14:textId="77777777" w:rsidR="003C44C4" w:rsidRPr="005F577B" w:rsidRDefault="003C44C4" w:rsidP="003C44C4">
      <w:pPr>
        <w:pStyle w:val="Heading1"/>
        <w:rPr>
          <w:lang w:val="en-US"/>
        </w:rPr>
      </w:pPr>
      <w:r>
        <w:rPr>
          <w:lang w:val="en-US"/>
        </w:rPr>
        <w:t>3</w:t>
      </w:r>
      <w:r>
        <w:rPr>
          <w:lang w:val="en-US"/>
        </w:rPr>
        <w:tab/>
      </w:r>
      <w:r w:rsidRPr="005F577B">
        <w:rPr>
          <w:lang w:val="en-US"/>
        </w:rPr>
        <w:t>Conclusion</w:t>
      </w:r>
    </w:p>
    <w:p w14:paraId="5E6A8A67" w14:textId="77777777" w:rsidR="003C44C4" w:rsidRPr="00C437D1" w:rsidRDefault="003C44C4" w:rsidP="003C44C4">
      <w:pPr>
        <w:pStyle w:val="BodyText"/>
        <w:rPr>
          <w:rFonts w:cs="Arial"/>
        </w:rPr>
      </w:pPr>
      <w:r w:rsidRPr="00C437D1">
        <w:rPr>
          <w:rFonts w:cs="Arial"/>
        </w:rPr>
        <w:t xml:space="preserve">In section 2, the following observations and proposals were made: </w:t>
      </w:r>
    </w:p>
    <w:p w14:paraId="384C82B6" w14:textId="77777777" w:rsidR="003C44C4" w:rsidRDefault="003C44C4" w:rsidP="003C44C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61890348" w:history="1">
        <w:r w:rsidRPr="00EA549B">
          <w:rPr>
            <w:rStyle w:val="Hyperlink"/>
            <w:rFonts w:cstheme="minorHAnsi"/>
            <w:noProof/>
          </w:rPr>
          <w:t>Observation 1</w:t>
        </w:r>
        <w:r>
          <w:rPr>
            <w:rFonts w:asciiTheme="minorHAnsi" w:eastAsiaTheme="minorEastAsia" w:hAnsiTheme="minorHAnsi"/>
            <w:b w:val="0"/>
            <w:noProof/>
          </w:rPr>
          <w:tab/>
        </w:r>
        <w:r w:rsidRPr="00EA549B">
          <w:rPr>
            <w:rStyle w:val="Hyperlink"/>
            <w:rFonts w:cstheme="minorHAnsi"/>
            <w:noProof/>
          </w:rPr>
          <w:t>Search space set group switching provides better UPT-loss vs power-saving trade-off compared to PDCCH-skipping both when only long-DRX is configured for the UE and when long-DRX+ short-DRX are configured for the UE.</w:t>
        </w:r>
      </w:hyperlink>
    </w:p>
    <w:p w14:paraId="6A3F4C2B" w14:textId="77777777" w:rsidR="003C44C4" w:rsidRPr="007258DD" w:rsidRDefault="003C44C4" w:rsidP="003C44C4">
      <w:pPr>
        <w:pStyle w:val="TableofFigures"/>
        <w:tabs>
          <w:tab w:val="right" w:leader="dot" w:pos="9629"/>
        </w:tabs>
      </w:pPr>
      <w:r w:rsidRPr="005F577B">
        <w:rPr>
          <w:bCs/>
        </w:rPr>
        <w:fldChar w:fldCharType="end"/>
      </w:r>
    </w:p>
    <w:p w14:paraId="1959F579" w14:textId="77777777" w:rsidR="003C44C4" w:rsidRPr="00381CEC" w:rsidRDefault="003C44C4" w:rsidP="003C44C4">
      <w:pPr>
        <w:pStyle w:val="Heading1"/>
      </w:pPr>
      <w:bookmarkStart w:id="3" w:name="_In-sequence_SDU_delivery"/>
      <w:bookmarkEnd w:id="3"/>
    </w:p>
    <w:p w14:paraId="2B2AF35B" w14:textId="77777777" w:rsidR="003F46FC" w:rsidRDefault="003F46FC">
      <w:bookmarkStart w:id="4" w:name="_GoBack"/>
      <w:bookmarkEnd w:id="4"/>
    </w:p>
    <w:sectPr w:rsidR="003F46FC"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C157A" w14:textId="77777777" w:rsidR="000E4BE2" w:rsidRDefault="003C44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EB3C0" w14:textId="77777777" w:rsidR="000E4BE2" w:rsidRDefault="003C44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40080"/>
    <w:multiLevelType w:val="hybridMultilevel"/>
    <w:tmpl w:val="FF4CB6B2"/>
    <w:lvl w:ilvl="0" w:tplc="464EA3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1433F5"/>
    <w:multiLevelType w:val="hybridMultilevel"/>
    <w:tmpl w:val="8160B8DC"/>
    <w:lvl w:ilvl="0" w:tplc="ACB88E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4C4"/>
    <w:rsid w:val="003C44C4"/>
    <w:rsid w:val="003F4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925D9"/>
  <w15:chartTrackingRefBased/>
  <w15:docId w15:val="{B663DCDA-AA4B-4F15-90F9-8AFCB97F0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4C4"/>
  </w:style>
  <w:style w:type="paragraph" w:styleId="Heading1">
    <w:name w:val="heading 1"/>
    <w:next w:val="Normal"/>
    <w:link w:val="Heading1Char"/>
    <w:qFormat/>
    <w:rsid w:val="003C44C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3C44C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44C4"/>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3C44C4"/>
    <w:rPr>
      <w:rFonts w:ascii="Arial" w:eastAsia="Times New Roman" w:hAnsi="Arial" w:cs="Times New Roman"/>
      <w:sz w:val="32"/>
      <w:szCs w:val="20"/>
      <w:lang w:val="en-GB" w:eastAsia="ja-JP"/>
    </w:rPr>
  </w:style>
  <w:style w:type="paragraph" w:customStyle="1" w:styleId="3GPPHeader">
    <w:name w:val="3GPP_Header"/>
    <w:basedOn w:val="BodyText"/>
    <w:rsid w:val="003C44C4"/>
    <w:pPr>
      <w:tabs>
        <w:tab w:val="left" w:pos="1701"/>
        <w:tab w:val="right" w:pos="9639"/>
      </w:tabs>
      <w:spacing w:after="240"/>
    </w:pPr>
    <w:rPr>
      <w:b/>
      <w:sz w:val="24"/>
    </w:rPr>
  </w:style>
  <w:style w:type="paragraph" w:styleId="Footer">
    <w:name w:val="footer"/>
    <w:basedOn w:val="Header"/>
    <w:link w:val="FooterChar"/>
    <w:rsid w:val="003C44C4"/>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3C44C4"/>
    <w:rPr>
      <w:rFonts w:ascii="Arial" w:eastAsia="Times New Roman" w:hAnsi="Arial" w:cs="Times New Roman"/>
      <w:b/>
      <w:i/>
      <w:noProof/>
      <w:sz w:val="18"/>
      <w:szCs w:val="20"/>
      <w:lang w:val="en-GB" w:eastAsia="ja-JP"/>
    </w:rPr>
  </w:style>
  <w:style w:type="character" w:styleId="PageNumber">
    <w:name w:val="page number"/>
    <w:basedOn w:val="DefaultParagraphFont"/>
    <w:rsid w:val="003C44C4"/>
  </w:style>
  <w:style w:type="paragraph" w:styleId="BodyText">
    <w:name w:val="Body Text"/>
    <w:basedOn w:val="Normal"/>
    <w:link w:val="BodyTextChar"/>
    <w:rsid w:val="003C44C4"/>
    <w:pPr>
      <w:spacing w:after="120"/>
      <w:jc w:val="both"/>
    </w:pPr>
    <w:rPr>
      <w:rFonts w:ascii="Arial" w:hAnsi="Arial"/>
    </w:rPr>
  </w:style>
  <w:style w:type="character" w:customStyle="1" w:styleId="BodyTextChar">
    <w:name w:val="Body Text Char"/>
    <w:basedOn w:val="DefaultParagraphFont"/>
    <w:link w:val="BodyText"/>
    <w:rsid w:val="003C44C4"/>
    <w:rPr>
      <w:rFonts w:ascii="Arial" w:hAnsi="Arial"/>
    </w:rPr>
  </w:style>
  <w:style w:type="character" w:styleId="Hyperlink">
    <w:name w:val="Hyperlink"/>
    <w:uiPriority w:val="99"/>
    <w:rsid w:val="003C44C4"/>
    <w:rPr>
      <w:color w:val="0000FF"/>
      <w:u w:val="single"/>
    </w:rPr>
  </w:style>
  <w:style w:type="paragraph" w:customStyle="1" w:styleId="Observation">
    <w:name w:val="Observation"/>
    <w:basedOn w:val="Normal"/>
    <w:qFormat/>
    <w:rsid w:val="003C44C4"/>
    <w:pPr>
      <w:numPr>
        <w:numId w:val="1"/>
      </w:numPr>
      <w:tabs>
        <w:tab w:val="left" w:pos="1701"/>
      </w:tabs>
      <w:spacing w:after="120"/>
      <w:ind w:left="1701" w:hanging="1701"/>
      <w:jc w:val="both"/>
    </w:pPr>
    <w:rPr>
      <w:rFonts w:ascii="Arial" w:hAnsi="Arial"/>
      <w:b/>
      <w:bCs/>
      <w:lang w:eastAsia="ja-JP"/>
    </w:rPr>
  </w:style>
  <w:style w:type="paragraph" w:styleId="TableofFigures">
    <w:name w:val="table of figures"/>
    <w:basedOn w:val="BodyText"/>
    <w:next w:val="Normal"/>
    <w:uiPriority w:val="99"/>
    <w:rsid w:val="003C44C4"/>
    <w:pPr>
      <w:ind w:left="1701" w:hanging="1701"/>
      <w:jc w:val="left"/>
    </w:pPr>
    <w:rPr>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C44C4"/>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3C44C4"/>
    <w:rPr>
      <w:rFonts w:ascii="Calibri" w:eastAsia="Calibri" w:hAnsi="Calibri"/>
      <w:lang w:val="x-none"/>
    </w:rPr>
  </w:style>
  <w:style w:type="table" w:styleId="TableGrid">
    <w:name w:val="Table Grid"/>
    <w:basedOn w:val="TableNormal"/>
    <w:uiPriority w:val="39"/>
    <w:rsid w:val="003C44C4"/>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3C44C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C44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1005</Words>
  <Characters>5730</Characters>
  <Application>Microsoft Office Word</Application>
  <DocSecurity>0</DocSecurity>
  <Lines>47</Lines>
  <Paragraphs>13</Paragraphs>
  <ScaleCrop>false</ScaleCrop>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2021-01-19T06:05:00Z</dcterms:created>
  <dcterms:modified xsi:type="dcterms:W3CDTF">2021-01-19T06:05:00Z</dcterms:modified>
</cp:coreProperties>
</file>